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pPr w:leftFromText="142" w:rightFromText="142" w:vertAnchor="page" w:horzAnchor="margin" w:tblpXSpec="right" w:tblpY="79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2480"/>
      </w:tblGrid>
      <w:tr w:rsidR="00762B5E" w14:paraId="56F7C704" w14:textId="77777777" w:rsidTr="004A6755">
        <w:trPr>
          <w:trHeight w:val="93"/>
        </w:trPr>
        <w:tc>
          <w:tcPr>
            <w:tcW w:w="3643" w:type="dxa"/>
            <w:gridSpan w:val="2"/>
            <w:hideMark/>
          </w:tcPr>
          <w:p w14:paraId="185D8659" w14:textId="77777777" w:rsidR="00762B5E" w:rsidRDefault="00B9409F" w:rsidP="0084228E">
            <w:pPr>
              <w:pStyle w:val="bdokumentintiedot"/>
            </w:pPr>
            <w:r>
              <w:rPr>
                <w:b/>
                <w:bCs/>
              </w:rPr>
              <w:t>Opas</w:t>
            </w:r>
          </w:p>
        </w:tc>
      </w:tr>
      <w:tr w:rsidR="0084228E" w14:paraId="61BE23CE" w14:textId="77777777" w:rsidTr="004A6755">
        <w:trPr>
          <w:trHeight w:val="94"/>
        </w:trPr>
        <w:tc>
          <w:tcPr>
            <w:tcW w:w="1163" w:type="dxa"/>
          </w:tcPr>
          <w:p w14:paraId="7A9AD79D" w14:textId="77777777" w:rsidR="0084228E" w:rsidRPr="00F74100" w:rsidRDefault="0084228E" w:rsidP="0084228E">
            <w:pPr>
              <w:pStyle w:val="bdokumentintiedot"/>
              <w:rPr>
                <w:b/>
                <w:bCs/>
              </w:rPr>
            </w:pPr>
          </w:p>
        </w:tc>
        <w:tc>
          <w:tcPr>
            <w:tcW w:w="2480" w:type="dxa"/>
            <w:hideMark/>
          </w:tcPr>
          <w:p w14:paraId="214EA935" w14:textId="77777777" w:rsidR="0084228E" w:rsidRDefault="0084228E" w:rsidP="0084228E">
            <w:pPr>
              <w:pStyle w:val="bdokumentintiedot"/>
            </w:pPr>
          </w:p>
        </w:tc>
      </w:tr>
      <w:tr w:rsidR="0084228E" w:rsidRPr="000F4852" w14:paraId="7B5B8AD0" w14:textId="77777777" w:rsidTr="004A6755">
        <w:trPr>
          <w:trHeight w:val="91"/>
        </w:trPr>
        <w:tc>
          <w:tcPr>
            <w:tcW w:w="1163" w:type="dxa"/>
          </w:tcPr>
          <w:p w14:paraId="56706F99" w14:textId="77777777" w:rsidR="0084228E" w:rsidRPr="00F74100" w:rsidRDefault="0084228E" w:rsidP="0084228E">
            <w:pPr>
              <w:pStyle w:val="bdokumentintiedot"/>
              <w:rPr>
                <w:b/>
                <w:bCs/>
              </w:rPr>
            </w:pPr>
            <w:r w:rsidRPr="00F74100">
              <w:rPr>
                <w:b/>
                <w:bCs/>
              </w:rPr>
              <w:t>Päivämäärä</w:t>
            </w:r>
            <w:r>
              <w:rPr>
                <w:b/>
                <w:bCs/>
              </w:rPr>
              <w:t>:</w:t>
            </w:r>
          </w:p>
        </w:tc>
        <w:tc>
          <w:tcPr>
            <w:tcW w:w="2480" w:type="dxa"/>
            <w:hideMark/>
          </w:tcPr>
          <w:p w14:paraId="327631A6" w14:textId="6201A448" w:rsidR="0084228E" w:rsidRPr="00F7450A" w:rsidRDefault="00FC6C82" w:rsidP="0048235F">
            <w:pPr>
              <w:pStyle w:val="bdokumentintiedot"/>
            </w:pPr>
            <w:sdt>
              <w:sdtPr>
                <w:id w:val="-356887500"/>
                <w:placeholder>
                  <w:docPart w:val="4D3F1682CF9E49A1A744A5D27EC4558D"/>
                </w:placeholder>
                <w:date w:fullDate="2023-06-14T00:00:00Z">
                  <w:dateFormat w:val="d.M.yyyy"/>
                  <w:lid w:val="fi-FI"/>
                  <w:storeMappedDataAs w:val="dateTime"/>
                  <w:calendar w:val="gregorian"/>
                </w:date>
              </w:sdtPr>
              <w:sdtEndPr/>
              <w:sdtContent>
                <w:r w:rsidR="000F4852">
                  <w:t>14</w:t>
                </w:r>
                <w:r w:rsidR="00B62031">
                  <w:t>.</w:t>
                </w:r>
                <w:r w:rsidR="0048235F">
                  <w:t>6</w:t>
                </w:r>
                <w:r w:rsidR="00B62031">
                  <w:t>.2023</w:t>
                </w:r>
              </w:sdtContent>
            </w:sdt>
          </w:p>
        </w:tc>
      </w:tr>
    </w:tbl>
    <w:p w14:paraId="02EB378F" w14:textId="77777777" w:rsidR="00B9409F" w:rsidRDefault="00B9409F" w:rsidP="004A6755">
      <w:pPr>
        <w:pStyle w:val="Otsikko1"/>
        <w:keepNext/>
        <w:keepLines/>
        <w:suppressAutoHyphens w:val="0"/>
        <w:spacing w:before="480" w:after="20" w:line="240" w:lineRule="auto"/>
        <w:jc w:val="both"/>
        <w:rPr>
          <w:noProof/>
          <w:sz w:val="26"/>
          <w:szCs w:val="24"/>
          <w:lang w:eastAsia="en-US"/>
        </w:rPr>
      </w:pPr>
      <w:bookmarkStart w:id="0" w:name="_Toc106286988"/>
    </w:p>
    <w:p w14:paraId="6A05A809" w14:textId="77777777" w:rsidR="00185E2B" w:rsidRDefault="00185E2B" w:rsidP="00B9409F">
      <w:pPr>
        <w:pStyle w:val="Otsikko1"/>
        <w:rPr>
          <w:noProof/>
          <w:sz w:val="96"/>
        </w:rPr>
      </w:pPr>
    </w:p>
    <w:p w14:paraId="5A39BBE3" w14:textId="77777777" w:rsidR="00185E2B" w:rsidRDefault="00185E2B" w:rsidP="00B9409F">
      <w:pPr>
        <w:pStyle w:val="Otsikko1"/>
        <w:rPr>
          <w:noProof/>
          <w:sz w:val="96"/>
        </w:rPr>
      </w:pPr>
    </w:p>
    <w:p w14:paraId="4491ED27" w14:textId="77777777" w:rsidR="00B9409F" w:rsidRPr="001850BB" w:rsidRDefault="00B9409F" w:rsidP="00B9409F">
      <w:pPr>
        <w:pStyle w:val="Otsikko1"/>
        <w:rPr>
          <w:noProof/>
          <w:sz w:val="96"/>
        </w:rPr>
      </w:pPr>
      <w:bookmarkStart w:id="1" w:name="_Toc135045248"/>
      <w:bookmarkStart w:id="2" w:name="_Toc137645911"/>
      <w:r w:rsidRPr="001850BB">
        <w:rPr>
          <w:noProof/>
          <w:sz w:val="96"/>
        </w:rPr>
        <w:t>Opas hyvinvointialueiden investointisuunnitelman laadintaan</w:t>
      </w:r>
      <w:bookmarkEnd w:id="1"/>
      <w:bookmarkEnd w:id="2"/>
    </w:p>
    <w:p w14:paraId="41C8F396" w14:textId="77777777" w:rsidR="00B9409F" w:rsidRPr="00B9409F" w:rsidRDefault="00B9409F" w:rsidP="00B9409F">
      <w:pPr>
        <w:pStyle w:val="Leipteksti"/>
        <w:rPr>
          <w:rFonts w:ascii="Arial Narrow" w:hAnsi="Arial Narrow"/>
          <w:noProof/>
          <w:color w:val="002F6C"/>
          <w:sz w:val="50"/>
        </w:rPr>
      </w:pPr>
      <w:r>
        <w:rPr>
          <w:noProof/>
        </w:rPr>
        <w:br w:type="page"/>
      </w:r>
    </w:p>
    <w:sdt>
      <w:sdtPr>
        <w:rPr>
          <w:rFonts w:ascii="Times New Roman" w:eastAsia="Times New Roman" w:hAnsi="Times New Roman" w:cs="Times New Roman"/>
          <w:b w:val="0"/>
          <w:color w:val="auto"/>
          <w:sz w:val="24"/>
          <w:szCs w:val="24"/>
          <w:lang w:val="en-GB"/>
        </w:rPr>
        <w:id w:val="-1100787299"/>
        <w:docPartObj>
          <w:docPartGallery w:val="Table of Contents"/>
          <w:docPartUnique/>
        </w:docPartObj>
      </w:sdtPr>
      <w:sdtEndPr>
        <w:rPr>
          <w:bCs/>
        </w:rPr>
      </w:sdtEndPr>
      <w:sdtContent>
        <w:p w14:paraId="75827322" w14:textId="77777777" w:rsidR="00B9409F" w:rsidRDefault="00B9409F">
          <w:pPr>
            <w:pStyle w:val="Sisllysluettelonotsikko"/>
          </w:pPr>
          <w:r>
            <w:t>Sisällys</w:t>
          </w:r>
        </w:p>
        <w:p w14:paraId="1882F4DB" w14:textId="42EA3189" w:rsidR="00482B9D" w:rsidRDefault="00B9409F">
          <w:pPr>
            <w:pStyle w:val="Sisluet1"/>
            <w:rPr>
              <w:rFonts w:asciiTheme="minorHAnsi" w:eastAsiaTheme="minorEastAsia" w:hAnsiTheme="minorHAnsi" w:cstheme="minorBidi"/>
              <w:b w:val="0"/>
              <w:color w:val="auto"/>
              <w:sz w:val="22"/>
              <w:szCs w:val="22"/>
              <w:lang w:eastAsia="fi-FI"/>
            </w:rPr>
          </w:pPr>
          <w:r>
            <w:fldChar w:fldCharType="begin"/>
          </w:r>
          <w:r>
            <w:instrText xml:space="preserve"> TOC \o "1-3" \h \z \u </w:instrText>
          </w:r>
          <w:r>
            <w:fldChar w:fldCharType="separate"/>
          </w:r>
          <w:hyperlink w:anchor="_Toc137645911" w:history="1">
            <w:r w:rsidR="00482B9D" w:rsidRPr="002B62FB">
              <w:rPr>
                <w:rStyle w:val="Hyperlinkki"/>
              </w:rPr>
              <w:t>Opas hyvinvointialueiden investointisuunnitelman laadintaan</w:t>
            </w:r>
            <w:r w:rsidR="00482B9D">
              <w:rPr>
                <w:webHidden/>
              </w:rPr>
              <w:tab/>
            </w:r>
            <w:r w:rsidR="00482B9D">
              <w:rPr>
                <w:webHidden/>
              </w:rPr>
              <w:fldChar w:fldCharType="begin"/>
            </w:r>
            <w:r w:rsidR="00482B9D">
              <w:rPr>
                <w:webHidden/>
              </w:rPr>
              <w:instrText xml:space="preserve"> PAGEREF _Toc137645911 \h </w:instrText>
            </w:r>
            <w:r w:rsidR="00482B9D">
              <w:rPr>
                <w:webHidden/>
              </w:rPr>
            </w:r>
            <w:r w:rsidR="00482B9D">
              <w:rPr>
                <w:webHidden/>
              </w:rPr>
              <w:fldChar w:fldCharType="separate"/>
            </w:r>
            <w:r w:rsidR="00482B9D">
              <w:rPr>
                <w:webHidden/>
              </w:rPr>
              <w:t>1</w:t>
            </w:r>
            <w:r w:rsidR="00482B9D">
              <w:rPr>
                <w:webHidden/>
              </w:rPr>
              <w:fldChar w:fldCharType="end"/>
            </w:r>
          </w:hyperlink>
        </w:p>
        <w:p w14:paraId="72F8255C" w14:textId="3C406E59" w:rsidR="00482B9D" w:rsidRDefault="00FC6C82">
          <w:pPr>
            <w:pStyle w:val="Sisluet1"/>
            <w:rPr>
              <w:rFonts w:asciiTheme="minorHAnsi" w:eastAsiaTheme="minorEastAsia" w:hAnsiTheme="minorHAnsi" w:cstheme="minorBidi"/>
              <w:b w:val="0"/>
              <w:color w:val="auto"/>
              <w:sz w:val="22"/>
              <w:szCs w:val="22"/>
              <w:lang w:eastAsia="fi-FI"/>
            </w:rPr>
          </w:pPr>
          <w:hyperlink w:anchor="_Toc137645912" w:history="1">
            <w:r w:rsidR="00482B9D" w:rsidRPr="002B62FB">
              <w:rPr>
                <w:rStyle w:val="Hyperlinkki"/>
                <w:rFonts w:cs="Arial"/>
              </w:rPr>
              <w:t>1.</w:t>
            </w:r>
            <w:r w:rsidR="00482B9D">
              <w:rPr>
                <w:rFonts w:asciiTheme="minorHAnsi" w:eastAsiaTheme="minorEastAsia" w:hAnsiTheme="minorHAnsi" w:cstheme="minorBidi"/>
                <w:b w:val="0"/>
                <w:color w:val="auto"/>
                <w:sz w:val="22"/>
                <w:szCs w:val="22"/>
                <w:lang w:eastAsia="fi-FI"/>
              </w:rPr>
              <w:tab/>
            </w:r>
            <w:r w:rsidR="00482B9D" w:rsidRPr="002B62FB">
              <w:rPr>
                <w:rStyle w:val="Hyperlinkki"/>
                <w:rFonts w:cs="Arial"/>
              </w:rPr>
              <w:t>Johdanto</w:t>
            </w:r>
            <w:r w:rsidR="00482B9D">
              <w:rPr>
                <w:webHidden/>
              </w:rPr>
              <w:tab/>
            </w:r>
            <w:r w:rsidR="00482B9D">
              <w:rPr>
                <w:webHidden/>
              </w:rPr>
              <w:fldChar w:fldCharType="begin"/>
            </w:r>
            <w:r w:rsidR="00482B9D">
              <w:rPr>
                <w:webHidden/>
              </w:rPr>
              <w:instrText xml:space="preserve"> PAGEREF _Toc137645912 \h </w:instrText>
            </w:r>
            <w:r w:rsidR="00482B9D">
              <w:rPr>
                <w:webHidden/>
              </w:rPr>
            </w:r>
            <w:r w:rsidR="00482B9D">
              <w:rPr>
                <w:webHidden/>
              </w:rPr>
              <w:fldChar w:fldCharType="separate"/>
            </w:r>
            <w:r w:rsidR="00482B9D">
              <w:rPr>
                <w:webHidden/>
              </w:rPr>
              <w:t>3</w:t>
            </w:r>
            <w:r w:rsidR="00482B9D">
              <w:rPr>
                <w:webHidden/>
              </w:rPr>
              <w:fldChar w:fldCharType="end"/>
            </w:r>
          </w:hyperlink>
        </w:p>
        <w:p w14:paraId="34BE3648" w14:textId="5EC96AD3" w:rsidR="00482B9D" w:rsidRDefault="00FC6C82">
          <w:pPr>
            <w:pStyle w:val="Sisluet1"/>
            <w:rPr>
              <w:rFonts w:asciiTheme="minorHAnsi" w:eastAsiaTheme="minorEastAsia" w:hAnsiTheme="minorHAnsi" w:cstheme="minorBidi"/>
              <w:b w:val="0"/>
              <w:color w:val="auto"/>
              <w:sz w:val="22"/>
              <w:szCs w:val="22"/>
              <w:lang w:eastAsia="fi-FI"/>
            </w:rPr>
          </w:pPr>
          <w:hyperlink w:anchor="_Toc137645913" w:history="1">
            <w:r w:rsidR="00482B9D" w:rsidRPr="002B62FB">
              <w:rPr>
                <w:rStyle w:val="Hyperlinkki"/>
                <w:rFonts w:cs="Arial"/>
              </w:rPr>
              <w:t>2.</w:t>
            </w:r>
            <w:r w:rsidR="00482B9D">
              <w:rPr>
                <w:rFonts w:asciiTheme="minorHAnsi" w:eastAsiaTheme="minorEastAsia" w:hAnsiTheme="minorHAnsi" w:cstheme="minorBidi"/>
                <w:b w:val="0"/>
                <w:color w:val="auto"/>
                <w:sz w:val="22"/>
                <w:szCs w:val="22"/>
                <w:lang w:eastAsia="fi-FI"/>
              </w:rPr>
              <w:tab/>
            </w:r>
            <w:r w:rsidR="00482B9D" w:rsidRPr="002B62FB">
              <w:rPr>
                <w:rStyle w:val="Hyperlinkki"/>
                <w:rFonts w:cs="Arial"/>
              </w:rPr>
              <w:t>Investointien sisällöllinen määrittely</w:t>
            </w:r>
            <w:r w:rsidR="00482B9D">
              <w:rPr>
                <w:webHidden/>
              </w:rPr>
              <w:tab/>
            </w:r>
            <w:r w:rsidR="00482B9D">
              <w:rPr>
                <w:webHidden/>
              </w:rPr>
              <w:fldChar w:fldCharType="begin"/>
            </w:r>
            <w:r w:rsidR="00482B9D">
              <w:rPr>
                <w:webHidden/>
              </w:rPr>
              <w:instrText xml:space="preserve"> PAGEREF _Toc137645913 \h </w:instrText>
            </w:r>
            <w:r w:rsidR="00482B9D">
              <w:rPr>
                <w:webHidden/>
              </w:rPr>
            </w:r>
            <w:r w:rsidR="00482B9D">
              <w:rPr>
                <w:webHidden/>
              </w:rPr>
              <w:fldChar w:fldCharType="separate"/>
            </w:r>
            <w:r w:rsidR="00482B9D">
              <w:rPr>
                <w:webHidden/>
              </w:rPr>
              <w:t>3</w:t>
            </w:r>
            <w:r w:rsidR="00482B9D">
              <w:rPr>
                <w:webHidden/>
              </w:rPr>
              <w:fldChar w:fldCharType="end"/>
            </w:r>
          </w:hyperlink>
        </w:p>
        <w:p w14:paraId="00352560" w14:textId="3663F7F7" w:rsidR="00482B9D" w:rsidRDefault="00FC6C82">
          <w:pPr>
            <w:pStyle w:val="Sisluet1"/>
            <w:rPr>
              <w:rFonts w:asciiTheme="minorHAnsi" w:eastAsiaTheme="minorEastAsia" w:hAnsiTheme="minorHAnsi" w:cstheme="minorBidi"/>
              <w:b w:val="0"/>
              <w:color w:val="auto"/>
              <w:sz w:val="22"/>
              <w:szCs w:val="22"/>
              <w:lang w:eastAsia="fi-FI"/>
            </w:rPr>
          </w:pPr>
          <w:hyperlink w:anchor="_Toc137645914" w:history="1">
            <w:r w:rsidR="00482B9D" w:rsidRPr="002B62FB">
              <w:rPr>
                <w:rStyle w:val="Hyperlinkki"/>
                <w:rFonts w:cs="Arial"/>
              </w:rPr>
              <w:t>3.</w:t>
            </w:r>
            <w:r w:rsidR="00482B9D">
              <w:rPr>
                <w:rFonts w:asciiTheme="minorHAnsi" w:eastAsiaTheme="minorEastAsia" w:hAnsiTheme="minorHAnsi" w:cstheme="minorBidi"/>
                <w:b w:val="0"/>
                <w:color w:val="auto"/>
                <w:sz w:val="22"/>
                <w:szCs w:val="22"/>
                <w:lang w:eastAsia="fi-FI"/>
              </w:rPr>
              <w:tab/>
            </w:r>
            <w:r w:rsidR="00482B9D" w:rsidRPr="002B62FB">
              <w:rPr>
                <w:rStyle w:val="Hyperlinkki"/>
                <w:rFonts w:cs="Arial"/>
              </w:rPr>
              <w:t>Investointisuunnitelma</w:t>
            </w:r>
            <w:r w:rsidR="00482B9D">
              <w:rPr>
                <w:webHidden/>
              </w:rPr>
              <w:tab/>
            </w:r>
            <w:r w:rsidR="00482B9D">
              <w:rPr>
                <w:webHidden/>
              </w:rPr>
              <w:fldChar w:fldCharType="begin"/>
            </w:r>
            <w:r w:rsidR="00482B9D">
              <w:rPr>
                <w:webHidden/>
              </w:rPr>
              <w:instrText xml:space="preserve"> PAGEREF _Toc137645914 \h </w:instrText>
            </w:r>
            <w:r w:rsidR="00482B9D">
              <w:rPr>
                <w:webHidden/>
              </w:rPr>
            </w:r>
            <w:r w:rsidR="00482B9D">
              <w:rPr>
                <w:webHidden/>
              </w:rPr>
              <w:fldChar w:fldCharType="separate"/>
            </w:r>
            <w:r w:rsidR="00482B9D">
              <w:rPr>
                <w:webHidden/>
              </w:rPr>
              <w:t>5</w:t>
            </w:r>
            <w:r w:rsidR="00482B9D">
              <w:rPr>
                <w:webHidden/>
              </w:rPr>
              <w:fldChar w:fldCharType="end"/>
            </w:r>
          </w:hyperlink>
        </w:p>
        <w:p w14:paraId="11E796B7" w14:textId="586FDFB5" w:rsidR="00482B9D" w:rsidRDefault="00FC6C82">
          <w:pPr>
            <w:pStyle w:val="Sisluet2"/>
            <w:rPr>
              <w:rFonts w:asciiTheme="minorHAnsi" w:eastAsiaTheme="minorEastAsia" w:hAnsiTheme="minorHAnsi" w:cstheme="minorBidi"/>
              <w:sz w:val="22"/>
              <w:szCs w:val="22"/>
              <w:lang w:eastAsia="fi-FI"/>
            </w:rPr>
          </w:pPr>
          <w:hyperlink w:anchor="_Toc137645915" w:history="1">
            <w:r w:rsidR="00482B9D" w:rsidRPr="002B62FB">
              <w:rPr>
                <w:rStyle w:val="Hyperlinkki"/>
              </w:rPr>
              <w:t>3.1 Investointisuunnitelman sisältö ja sitä koskeva päätöksenteko</w:t>
            </w:r>
            <w:r w:rsidR="00482B9D">
              <w:rPr>
                <w:webHidden/>
              </w:rPr>
              <w:tab/>
            </w:r>
            <w:r w:rsidR="00482B9D">
              <w:rPr>
                <w:webHidden/>
              </w:rPr>
              <w:fldChar w:fldCharType="begin"/>
            </w:r>
            <w:r w:rsidR="00482B9D">
              <w:rPr>
                <w:webHidden/>
              </w:rPr>
              <w:instrText xml:space="preserve"> PAGEREF _Toc137645915 \h </w:instrText>
            </w:r>
            <w:r w:rsidR="00482B9D">
              <w:rPr>
                <w:webHidden/>
              </w:rPr>
            </w:r>
            <w:r w:rsidR="00482B9D">
              <w:rPr>
                <w:webHidden/>
              </w:rPr>
              <w:fldChar w:fldCharType="separate"/>
            </w:r>
            <w:r w:rsidR="00482B9D">
              <w:rPr>
                <w:webHidden/>
              </w:rPr>
              <w:t>5</w:t>
            </w:r>
            <w:r w:rsidR="00482B9D">
              <w:rPr>
                <w:webHidden/>
              </w:rPr>
              <w:fldChar w:fldCharType="end"/>
            </w:r>
          </w:hyperlink>
        </w:p>
        <w:p w14:paraId="7C8D9EDA" w14:textId="61EE8668" w:rsidR="00482B9D" w:rsidRDefault="00FC6C82">
          <w:pPr>
            <w:pStyle w:val="Sisluet2"/>
            <w:rPr>
              <w:rFonts w:asciiTheme="minorHAnsi" w:eastAsiaTheme="minorEastAsia" w:hAnsiTheme="minorHAnsi" w:cstheme="minorBidi"/>
              <w:sz w:val="22"/>
              <w:szCs w:val="22"/>
              <w:lang w:eastAsia="fi-FI"/>
            </w:rPr>
          </w:pPr>
          <w:hyperlink w:anchor="_Toc137645916" w:history="1">
            <w:r w:rsidR="00482B9D" w:rsidRPr="002B62FB">
              <w:rPr>
                <w:rStyle w:val="Hyperlinkki"/>
              </w:rPr>
              <w:t>3.2 Investointisuunnitelman esittämismuoto</w:t>
            </w:r>
            <w:r w:rsidR="00482B9D">
              <w:rPr>
                <w:webHidden/>
              </w:rPr>
              <w:tab/>
            </w:r>
            <w:r w:rsidR="00482B9D">
              <w:rPr>
                <w:webHidden/>
              </w:rPr>
              <w:fldChar w:fldCharType="begin"/>
            </w:r>
            <w:r w:rsidR="00482B9D">
              <w:rPr>
                <w:webHidden/>
              </w:rPr>
              <w:instrText xml:space="preserve"> PAGEREF _Toc137645916 \h </w:instrText>
            </w:r>
            <w:r w:rsidR="00482B9D">
              <w:rPr>
                <w:webHidden/>
              </w:rPr>
            </w:r>
            <w:r w:rsidR="00482B9D">
              <w:rPr>
                <w:webHidden/>
              </w:rPr>
              <w:fldChar w:fldCharType="separate"/>
            </w:r>
            <w:r w:rsidR="00482B9D">
              <w:rPr>
                <w:webHidden/>
              </w:rPr>
              <w:t>6</w:t>
            </w:r>
            <w:r w:rsidR="00482B9D">
              <w:rPr>
                <w:webHidden/>
              </w:rPr>
              <w:fldChar w:fldCharType="end"/>
            </w:r>
          </w:hyperlink>
        </w:p>
        <w:p w14:paraId="60141E7D" w14:textId="45E00952" w:rsidR="00482B9D" w:rsidRDefault="00FC6C82">
          <w:pPr>
            <w:pStyle w:val="Sisluet2"/>
            <w:rPr>
              <w:rFonts w:asciiTheme="minorHAnsi" w:eastAsiaTheme="minorEastAsia" w:hAnsiTheme="minorHAnsi" w:cstheme="minorBidi"/>
              <w:sz w:val="22"/>
              <w:szCs w:val="22"/>
              <w:lang w:eastAsia="fi-FI"/>
            </w:rPr>
          </w:pPr>
          <w:hyperlink w:anchor="_Toc137645917" w:history="1">
            <w:r w:rsidR="00482B9D" w:rsidRPr="002B62FB">
              <w:rPr>
                <w:rStyle w:val="Hyperlinkki"/>
              </w:rPr>
              <w:t>3.3 Hyväksymismenettely ja hylkäysperusteet</w:t>
            </w:r>
            <w:r w:rsidR="00482B9D">
              <w:rPr>
                <w:webHidden/>
              </w:rPr>
              <w:tab/>
            </w:r>
            <w:r w:rsidR="00482B9D">
              <w:rPr>
                <w:webHidden/>
              </w:rPr>
              <w:fldChar w:fldCharType="begin"/>
            </w:r>
            <w:r w:rsidR="00482B9D">
              <w:rPr>
                <w:webHidden/>
              </w:rPr>
              <w:instrText xml:space="preserve"> PAGEREF _Toc137645917 \h </w:instrText>
            </w:r>
            <w:r w:rsidR="00482B9D">
              <w:rPr>
                <w:webHidden/>
              </w:rPr>
            </w:r>
            <w:r w:rsidR="00482B9D">
              <w:rPr>
                <w:webHidden/>
              </w:rPr>
              <w:fldChar w:fldCharType="separate"/>
            </w:r>
            <w:r w:rsidR="00482B9D">
              <w:rPr>
                <w:webHidden/>
              </w:rPr>
              <w:t>8</w:t>
            </w:r>
            <w:r w:rsidR="00482B9D">
              <w:rPr>
                <w:webHidden/>
              </w:rPr>
              <w:fldChar w:fldCharType="end"/>
            </w:r>
          </w:hyperlink>
        </w:p>
        <w:p w14:paraId="7EE29938" w14:textId="518DB63B" w:rsidR="00482B9D" w:rsidRDefault="00FC6C82">
          <w:pPr>
            <w:pStyle w:val="Sisluet2"/>
            <w:rPr>
              <w:rFonts w:asciiTheme="minorHAnsi" w:eastAsiaTheme="minorEastAsia" w:hAnsiTheme="minorHAnsi" w:cstheme="minorBidi"/>
              <w:sz w:val="22"/>
              <w:szCs w:val="22"/>
              <w:lang w:eastAsia="fi-FI"/>
            </w:rPr>
          </w:pPr>
          <w:hyperlink w:anchor="_Toc137645918" w:history="1">
            <w:r w:rsidR="00482B9D" w:rsidRPr="002B62FB">
              <w:rPr>
                <w:rStyle w:val="Hyperlinkki"/>
              </w:rPr>
              <w:t>3.4 Aikataulut</w:t>
            </w:r>
            <w:r w:rsidR="00482B9D">
              <w:rPr>
                <w:webHidden/>
              </w:rPr>
              <w:tab/>
            </w:r>
            <w:r w:rsidR="00482B9D">
              <w:rPr>
                <w:webHidden/>
              </w:rPr>
              <w:fldChar w:fldCharType="begin"/>
            </w:r>
            <w:r w:rsidR="00482B9D">
              <w:rPr>
                <w:webHidden/>
              </w:rPr>
              <w:instrText xml:space="preserve"> PAGEREF _Toc137645918 \h </w:instrText>
            </w:r>
            <w:r w:rsidR="00482B9D">
              <w:rPr>
                <w:webHidden/>
              </w:rPr>
            </w:r>
            <w:r w:rsidR="00482B9D">
              <w:rPr>
                <w:webHidden/>
              </w:rPr>
              <w:fldChar w:fldCharType="separate"/>
            </w:r>
            <w:r w:rsidR="00482B9D">
              <w:rPr>
                <w:webHidden/>
              </w:rPr>
              <w:t>10</w:t>
            </w:r>
            <w:r w:rsidR="00482B9D">
              <w:rPr>
                <w:webHidden/>
              </w:rPr>
              <w:fldChar w:fldCharType="end"/>
            </w:r>
          </w:hyperlink>
        </w:p>
        <w:p w14:paraId="561CE431" w14:textId="18A9DA78" w:rsidR="00482B9D" w:rsidRDefault="00FC6C82">
          <w:pPr>
            <w:pStyle w:val="Sisluet2"/>
            <w:rPr>
              <w:rFonts w:asciiTheme="minorHAnsi" w:eastAsiaTheme="minorEastAsia" w:hAnsiTheme="minorHAnsi" w:cstheme="minorBidi"/>
              <w:sz w:val="22"/>
              <w:szCs w:val="22"/>
              <w:lang w:eastAsia="fi-FI"/>
            </w:rPr>
          </w:pPr>
          <w:hyperlink w:anchor="_Toc137645919" w:history="1">
            <w:r w:rsidR="00482B9D" w:rsidRPr="002B62FB">
              <w:rPr>
                <w:rStyle w:val="Hyperlinkki"/>
              </w:rPr>
              <w:t>3.5 Investointisuunnitelman muuttaminen</w:t>
            </w:r>
            <w:r w:rsidR="00482B9D">
              <w:rPr>
                <w:webHidden/>
              </w:rPr>
              <w:tab/>
            </w:r>
            <w:r w:rsidR="00482B9D">
              <w:rPr>
                <w:webHidden/>
              </w:rPr>
              <w:fldChar w:fldCharType="begin"/>
            </w:r>
            <w:r w:rsidR="00482B9D">
              <w:rPr>
                <w:webHidden/>
              </w:rPr>
              <w:instrText xml:space="preserve"> PAGEREF _Toc137645919 \h </w:instrText>
            </w:r>
            <w:r w:rsidR="00482B9D">
              <w:rPr>
                <w:webHidden/>
              </w:rPr>
            </w:r>
            <w:r w:rsidR="00482B9D">
              <w:rPr>
                <w:webHidden/>
              </w:rPr>
              <w:fldChar w:fldCharType="separate"/>
            </w:r>
            <w:r w:rsidR="00482B9D">
              <w:rPr>
                <w:webHidden/>
              </w:rPr>
              <w:t>11</w:t>
            </w:r>
            <w:r w:rsidR="00482B9D">
              <w:rPr>
                <w:webHidden/>
              </w:rPr>
              <w:fldChar w:fldCharType="end"/>
            </w:r>
          </w:hyperlink>
        </w:p>
        <w:p w14:paraId="2D6B068A" w14:textId="20DF750E" w:rsidR="00482B9D" w:rsidRDefault="00FC6C82">
          <w:pPr>
            <w:pStyle w:val="Sisluet1"/>
            <w:rPr>
              <w:rFonts w:asciiTheme="minorHAnsi" w:eastAsiaTheme="minorEastAsia" w:hAnsiTheme="minorHAnsi" w:cstheme="minorBidi"/>
              <w:b w:val="0"/>
              <w:color w:val="auto"/>
              <w:sz w:val="22"/>
              <w:szCs w:val="22"/>
              <w:lang w:eastAsia="fi-FI"/>
            </w:rPr>
          </w:pPr>
          <w:hyperlink w:anchor="_Toc137645920" w:history="1">
            <w:r w:rsidR="00482B9D" w:rsidRPr="002B62FB">
              <w:rPr>
                <w:rStyle w:val="Hyperlinkki"/>
              </w:rPr>
              <w:t>4.</w:t>
            </w:r>
            <w:r w:rsidR="00482B9D">
              <w:rPr>
                <w:rFonts w:asciiTheme="minorHAnsi" w:eastAsiaTheme="minorEastAsia" w:hAnsiTheme="minorHAnsi" w:cstheme="minorBidi"/>
                <w:b w:val="0"/>
                <w:color w:val="auto"/>
                <w:sz w:val="22"/>
                <w:szCs w:val="22"/>
                <w:lang w:eastAsia="fi-FI"/>
              </w:rPr>
              <w:tab/>
            </w:r>
            <w:r w:rsidR="00482B9D" w:rsidRPr="002B62FB">
              <w:rPr>
                <w:rStyle w:val="Hyperlinkki"/>
              </w:rPr>
              <w:t>Lainanottovaltuus</w:t>
            </w:r>
            <w:r w:rsidR="00482B9D">
              <w:rPr>
                <w:webHidden/>
              </w:rPr>
              <w:tab/>
            </w:r>
            <w:r w:rsidR="00482B9D">
              <w:rPr>
                <w:webHidden/>
              </w:rPr>
              <w:fldChar w:fldCharType="begin"/>
            </w:r>
            <w:r w:rsidR="00482B9D">
              <w:rPr>
                <w:webHidden/>
              </w:rPr>
              <w:instrText xml:space="preserve"> PAGEREF _Toc137645920 \h </w:instrText>
            </w:r>
            <w:r w:rsidR="00482B9D">
              <w:rPr>
                <w:webHidden/>
              </w:rPr>
            </w:r>
            <w:r w:rsidR="00482B9D">
              <w:rPr>
                <w:webHidden/>
              </w:rPr>
              <w:fldChar w:fldCharType="separate"/>
            </w:r>
            <w:r w:rsidR="00482B9D">
              <w:rPr>
                <w:webHidden/>
              </w:rPr>
              <w:t>11</w:t>
            </w:r>
            <w:r w:rsidR="00482B9D">
              <w:rPr>
                <w:webHidden/>
              </w:rPr>
              <w:fldChar w:fldCharType="end"/>
            </w:r>
          </w:hyperlink>
        </w:p>
        <w:p w14:paraId="7DE6B4B2" w14:textId="20B9C7D6" w:rsidR="00482B9D" w:rsidRDefault="00FC6C82">
          <w:pPr>
            <w:pStyle w:val="Sisluet2"/>
            <w:rPr>
              <w:rFonts w:asciiTheme="minorHAnsi" w:eastAsiaTheme="minorEastAsia" w:hAnsiTheme="minorHAnsi" w:cstheme="minorBidi"/>
              <w:sz w:val="22"/>
              <w:szCs w:val="22"/>
              <w:lang w:eastAsia="fi-FI"/>
            </w:rPr>
          </w:pPr>
          <w:hyperlink w:anchor="_Toc137645921" w:history="1">
            <w:r w:rsidR="00482B9D" w:rsidRPr="002B62FB">
              <w:rPr>
                <w:rStyle w:val="Hyperlinkki"/>
              </w:rPr>
              <w:t>4.1 Laskentaperiaate</w:t>
            </w:r>
            <w:r w:rsidR="00482B9D">
              <w:rPr>
                <w:webHidden/>
              </w:rPr>
              <w:tab/>
            </w:r>
            <w:r w:rsidR="00482B9D">
              <w:rPr>
                <w:webHidden/>
              </w:rPr>
              <w:fldChar w:fldCharType="begin"/>
            </w:r>
            <w:r w:rsidR="00482B9D">
              <w:rPr>
                <w:webHidden/>
              </w:rPr>
              <w:instrText xml:space="preserve"> PAGEREF _Toc137645921 \h </w:instrText>
            </w:r>
            <w:r w:rsidR="00482B9D">
              <w:rPr>
                <w:webHidden/>
              </w:rPr>
            </w:r>
            <w:r w:rsidR="00482B9D">
              <w:rPr>
                <w:webHidden/>
              </w:rPr>
              <w:fldChar w:fldCharType="separate"/>
            </w:r>
            <w:r w:rsidR="00482B9D">
              <w:rPr>
                <w:webHidden/>
              </w:rPr>
              <w:t>11</w:t>
            </w:r>
            <w:r w:rsidR="00482B9D">
              <w:rPr>
                <w:webHidden/>
              </w:rPr>
              <w:fldChar w:fldCharType="end"/>
            </w:r>
          </w:hyperlink>
        </w:p>
        <w:p w14:paraId="16AF0555" w14:textId="7CA7AFC2" w:rsidR="00482B9D" w:rsidRDefault="00FC6C82">
          <w:pPr>
            <w:pStyle w:val="Sisluet2"/>
            <w:rPr>
              <w:rFonts w:asciiTheme="minorHAnsi" w:eastAsiaTheme="minorEastAsia" w:hAnsiTheme="minorHAnsi" w:cstheme="minorBidi"/>
              <w:sz w:val="22"/>
              <w:szCs w:val="22"/>
              <w:lang w:eastAsia="fi-FI"/>
            </w:rPr>
          </w:pPr>
          <w:hyperlink w:anchor="_Toc137645922" w:history="1">
            <w:r w:rsidR="00482B9D" w:rsidRPr="002B62FB">
              <w:rPr>
                <w:rStyle w:val="Hyperlinkki"/>
              </w:rPr>
              <w:t>4.2 Poikkeuksellinen lainanottovaltuus</w:t>
            </w:r>
            <w:r w:rsidR="00482B9D">
              <w:rPr>
                <w:webHidden/>
              </w:rPr>
              <w:tab/>
            </w:r>
            <w:r w:rsidR="00482B9D">
              <w:rPr>
                <w:webHidden/>
              </w:rPr>
              <w:fldChar w:fldCharType="begin"/>
            </w:r>
            <w:r w:rsidR="00482B9D">
              <w:rPr>
                <w:webHidden/>
              </w:rPr>
              <w:instrText xml:space="preserve"> PAGEREF _Toc137645922 \h </w:instrText>
            </w:r>
            <w:r w:rsidR="00482B9D">
              <w:rPr>
                <w:webHidden/>
              </w:rPr>
            </w:r>
            <w:r w:rsidR="00482B9D">
              <w:rPr>
                <w:webHidden/>
              </w:rPr>
              <w:fldChar w:fldCharType="separate"/>
            </w:r>
            <w:r w:rsidR="00482B9D">
              <w:rPr>
                <w:webHidden/>
              </w:rPr>
              <w:t>13</w:t>
            </w:r>
            <w:r w:rsidR="00482B9D">
              <w:rPr>
                <w:webHidden/>
              </w:rPr>
              <w:fldChar w:fldCharType="end"/>
            </w:r>
          </w:hyperlink>
        </w:p>
        <w:p w14:paraId="536C3A4F" w14:textId="23F3B068" w:rsidR="00482B9D" w:rsidRDefault="00FC6C82">
          <w:pPr>
            <w:pStyle w:val="Sisluet1"/>
            <w:rPr>
              <w:rFonts w:asciiTheme="minorHAnsi" w:eastAsiaTheme="minorEastAsia" w:hAnsiTheme="minorHAnsi" w:cstheme="minorBidi"/>
              <w:b w:val="0"/>
              <w:color w:val="auto"/>
              <w:sz w:val="22"/>
              <w:szCs w:val="22"/>
              <w:lang w:eastAsia="fi-FI"/>
            </w:rPr>
          </w:pPr>
          <w:hyperlink w:anchor="_Toc137645923" w:history="1">
            <w:r w:rsidR="00482B9D" w:rsidRPr="002B62FB">
              <w:rPr>
                <w:rStyle w:val="Hyperlinkki"/>
                <w:rFonts w:cs="Arial"/>
              </w:rPr>
              <w:t>5.</w:t>
            </w:r>
            <w:r w:rsidR="00482B9D">
              <w:rPr>
                <w:rFonts w:asciiTheme="minorHAnsi" w:eastAsiaTheme="minorEastAsia" w:hAnsiTheme="minorHAnsi" w:cstheme="minorBidi"/>
                <w:b w:val="0"/>
                <w:color w:val="auto"/>
                <w:sz w:val="22"/>
                <w:szCs w:val="22"/>
                <w:lang w:eastAsia="fi-FI"/>
              </w:rPr>
              <w:tab/>
            </w:r>
            <w:r w:rsidR="00482B9D" w:rsidRPr="002B62FB">
              <w:rPr>
                <w:rStyle w:val="Hyperlinkki"/>
                <w:rFonts w:cs="Arial"/>
              </w:rPr>
              <w:t>Investointiryhmittäin huomioitavaa</w:t>
            </w:r>
            <w:r w:rsidR="00482B9D">
              <w:rPr>
                <w:webHidden/>
              </w:rPr>
              <w:tab/>
            </w:r>
            <w:r w:rsidR="00482B9D">
              <w:rPr>
                <w:webHidden/>
              </w:rPr>
              <w:fldChar w:fldCharType="begin"/>
            </w:r>
            <w:r w:rsidR="00482B9D">
              <w:rPr>
                <w:webHidden/>
              </w:rPr>
              <w:instrText xml:space="preserve"> PAGEREF _Toc137645923 \h </w:instrText>
            </w:r>
            <w:r w:rsidR="00482B9D">
              <w:rPr>
                <w:webHidden/>
              </w:rPr>
            </w:r>
            <w:r w:rsidR="00482B9D">
              <w:rPr>
                <w:webHidden/>
              </w:rPr>
              <w:fldChar w:fldCharType="separate"/>
            </w:r>
            <w:r w:rsidR="00482B9D">
              <w:rPr>
                <w:webHidden/>
              </w:rPr>
              <w:t>14</w:t>
            </w:r>
            <w:r w:rsidR="00482B9D">
              <w:rPr>
                <w:webHidden/>
              </w:rPr>
              <w:fldChar w:fldCharType="end"/>
            </w:r>
          </w:hyperlink>
        </w:p>
        <w:p w14:paraId="7A05DDE2" w14:textId="3A7A5F80" w:rsidR="00482B9D" w:rsidRDefault="00FC6C82">
          <w:pPr>
            <w:pStyle w:val="Sisluet2"/>
            <w:rPr>
              <w:rFonts w:asciiTheme="minorHAnsi" w:eastAsiaTheme="minorEastAsia" w:hAnsiTheme="minorHAnsi" w:cstheme="minorBidi"/>
              <w:sz w:val="22"/>
              <w:szCs w:val="22"/>
              <w:lang w:eastAsia="fi-FI"/>
            </w:rPr>
          </w:pPr>
          <w:hyperlink w:anchor="_Toc137645924" w:history="1">
            <w:r w:rsidR="00482B9D" w:rsidRPr="002B62FB">
              <w:rPr>
                <w:rStyle w:val="Hyperlinkki"/>
              </w:rPr>
              <w:t>5.1 Tilainvestoinnit</w:t>
            </w:r>
            <w:r w:rsidR="00482B9D">
              <w:rPr>
                <w:webHidden/>
              </w:rPr>
              <w:tab/>
            </w:r>
            <w:r w:rsidR="00482B9D">
              <w:rPr>
                <w:webHidden/>
              </w:rPr>
              <w:fldChar w:fldCharType="begin"/>
            </w:r>
            <w:r w:rsidR="00482B9D">
              <w:rPr>
                <w:webHidden/>
              </w:rPr>
              <w:instrText xml:space="preserve"> PAGEREF _Toc137645924 \h </w:instrText>
            </w:r>
            <w:r w:rsidR="00482B9D">
              <w:rPr>
                <w:webHidden/>
              </w:rPr>
            </w:r>
            <w:r w:rsidR="00482B9D">
              <w:rPr>
                <w:webHidden/>
              </w:rPr>
              <w:fldChar w:fldCharType="separate"/>
            </w:r>
            <w:r w:rsidR="00482B9D">
              <w:rPr>
                <w:webHidden/>
              </w:rPr>
              <w:t>14</w:t>
            </w:r>
            <w:r w:rsidR="00482B9D">
              <w:rPr>
                <w:webHidden/>
              </w:rPr>
              <w:fldChar w:fldCharType="end"/>
            </w:r>
          </w:hyperlink>
        </w:p>
        <w:p w14:paraId="4E1E2A9A" w14:textId="2761CB72" w:rsidR="00482B9D" w:rsidRDefault="00FC6C82">
          <w:pPr>
            <w:pStyle w:val="Sisluet2"/>
            <w:rPr>
              <w:rFonts w:asciiTheme="minorHAnsi" w:eastAsiaTheme="minorEastAsia" w:hAnsiTheme="minorHAnsi" w:cstheme="minorBidi"/>
              <w:sz w:val="22"/>
              <w:szCs w:val="22"/>
              <w:lang w:eastAsia="fi-FI"/>
            </w:rPr>
          </w:pPr>
          <w:hyperlink w:anchor="_Toc137645925" w:history="1">
            <w:r w:rsidR="00482B9D" w:rsidRPr="002B62FB">
              <w:rPr>
                <w:rStyle w:val="Hyperlinkki"/>
              </w:rPr>
              <w:t>5.2 ICT-investoinnit</w:t>
            </w:r>
            <w:r w:rsidR="00482B9D">
              <w:rPr>
                <w:webHidden/>
              </w:rPr>
              <w:tab/>
            </w:r>
            <w:r w:rsidR="00482B9D">
              <w:rPr>
                <w:webHidden/>
              </w:rPr>
              <w:fldChar w:fldCharType="begin"/>
            </w:r>
            <w:r w:rsidR="00482B9D">
              <w:rPr>
                <w:webHidden/>
              </w:rPr>
              <w:instrText xml:space="preserve"> PAGEREF _Toc137645925 \h </w:instrText>
            </w:r>
            <w:r w:rsidR="00482B9D">
              <w:rPr>
                <w:webHidden/>
              </w:rPr>
            </w:r>
            <w:r w:rsidR="00482B9D">
              <w:rPr>
                <w:webHidden/>
              </w:rPr>
              <w:fldChar w:fldCharType="separate"/>
            </w:r>
            <w:r w:rsidR="00482B9D">
              <w:rPr>
                <w:webHidden/>
              </w:rPr>
              <w:t>15</w:t>
            </w:r>
            <w:r w:rsidR="00482B9D">
              <w:rPr>
                <w:webHidden/>
              </w:rPr>
              <w:fldChar w:fldCharType="end"/>
            </w:r>
          </w:hyperlink>
        </w:p>
        <w:p w14:paraId="76552764" w14:textId="5DE4D16C" w:rsidR="00482B9D" w:rsidRDefault="00FC6C82">
          <w:pPr>
            <w:pStyle w:val="Sisluet1"/>
            <w:rPr>
              <w:rFonts w:asciiTheme="minorHAnsi" w:eastAsiaTheme="minorEastAsia" w:hAnsiTheme="minorHAnsi" w:cstheme="minorBidi"/>
              <w:b w:val="0"/>
              <w:color w:val="auto"/>
              <w:sz w:val="22"/>
              <w:szCs w:val="22"/>
              <w:lang w:eastAsia="fi-FI"/>
            </w:rPr>
          </w:pPr>
          <w:hyperlink w:anchor="_Toc137645926" w:history="1">
            <w:r w:rsidR="00482B9D" w:rsidRPr="002B62FB">
              <w:rPr>
                <w:rStyle w:val="Hyperlinkki"/>
                <w:rFonts w:cs="Arial"/>
              </w:rPr>
              <w:t>6.</w:t>
            </w:r>
            <w:r w:rsidR="00482B9D">
              <w:rPr>
                <w:rFonts w:asciiTheme="minorHAnsi" w:eastAsiaTheme="minorEastAsia" w:hAnsiTheme="minorHAnsi" w:cstheme="minorBidi"/>
                <w:b w:val="0"/>
                <w:color w:val="auto"/>
                <w:sz w:val="22"/>
                <w:szCs w:val="22"/>
                <w:lang w:eastAsia="fi-FI"/>
              </w:rPr>
              <w:tab/>
            </w:r>
            <w:r w:rsidR="00482B9D" w:rsidRPr="002B62FB">
              <w:rPr>
                <w:rStyle w:val="Hyperlinkki"/>
                <w:rFonts w:cs="Arial"/>
              </w:rPr>
              <w:t>Erilliskysymykset</w:t>
            </w:r>
            <w:r w:rsidR="00482B9D">
              <w:rPr>
                <w:webHidden/>
              </w:rPr>
              <w:tab/>
            </w:r>
            <w:r w:rsidR="00482B9D">
              <w:rPr>
                <w:webHidden/>
              </w:rPr>
              <w:fldChar w:fldCharType="begin"/>
            </w:r>
            <w:r w:rsidR="00482B9D">
              <w:rPr>
                <w:webHidden/>
              </w:rPr>
              <w:instrText xml:space="preserve"> PAGEREF _Toc137645926 \h </w:instrText>
            </w:r>
            <w:r w:rsidR="00482B9D">
              <w:rPr>
                <w:webHidden/>
              </w:rPr>
            </w:r>
            <w:r w:rsidR="00482B9D">
              <w:rPr>
                <w:webHidden/>
              </w:rPr>
              <w:fldChar w:fldCharType="separate"/>
            </w:r>
            <w:r w:rsidR="00482B9D">
              <w:rPr>
                <w:webHidden/>
              </w:rPr>
              <w:t>16</w:t>
            </w:r>
            <w:r w:rsidR="00482B9D">
              <w:rPr>
                <w:webHidden/>
              </w:rPr>
              <w:fldChar w:fldCharType="end"/>
            </w:r>
          </w:hyperlink>
        </w:p>
        <w:p w14:paraId="3BD5122D" w14:textId="6F773869" w:rsidR="00482B9D" w:rsidRDefault="00FC6C82">
          <w:pPr>
            <w:pStyle w:val="Sisluet2"/>
            <w:rPr>
              <w:rFonts w:asciiTheme="minorHAnsi" w:eastAsiaTheme="minorEastAsia" w:hAnsiTheme="minorHAnsi" w:cstheme="minorBidi"/>
              <w:sz w:val="22"/>
              <w:szCs w:val="22"/>
              <w:lang w:eastAsia="fi-FI"/>
            </w:rPr>
          </w:pPr>
          <w:hyperlink w:anchor="_Toc137645927" w:history="1">
            <w:r w:rsidR="00482B9D" w:rsidRPr="002B62FB">
              <w:rPr>
                <w:rStyle w:val="Hyperlinkki"/>
              </w:rPr>
              <w:t>6.1 Helsingin kaupunki</w:t>
            </w:r>
            <w:r w:rsidR="00482B9D">
              <w:rPr>
                <w:webHidden/>
              </w:rPr>
              <w:tab/>
            </w:r>
            <w:r w:rsidR="00482B9D">
              <w:rPr>
                <w:webHidden/>
              </w:rPr>
              <w:fldChar w:fldCharType="begin"/>
            </w:r>
            <w:r w:rsidR="00482B9D">
              <w:rPr>
                <w:webHidden/>
              </w:rPr>
              <w:instrText xml:space="preserve"> PAGEREF _Toc137645927 \h </w:instrText>
            </w:r>
            <w:r w:rsidR="00482B9D">
              <w:rPr>
                <w:webHidden/>
              </w:rPr>
            </w:r>
            <w:r w:rsidR="00482B9D">
              <w:rPr>
                <w:webHidden/>
              </w:rPr>
              <w:fldChar w:fldCharType="separate"/>
            </w:r>
            <w:r w:rsidR="00482B9D">
              <w:rPr>
                <w:webHidden/>
              </w:rPr>
              <w:t>16</w:t>
            </w:r>
            <w:r w:rsidR="00482B9D">
              <w:rPr>
                <w:webHidden/>
              </w:rPr>
              <w:fldChar w:fldCharType="end"/>
            </w:r>
          </w:hyperlink>
        </w:p>
        <w:p w14:paraId="78272315" w14:textId="3B5B83B7" w:rsidR="00482B9D" w:rsidRDefault="00FC6C82">
          <w:pPr>
            <w:pStyle w:val="Sisluet2"/>
            <w:rPr>
              <w:rFonts w:asciiTheme="minorHAnsi" w:eastAsiaTheme="minorEastAsia" w:hAnsiTheme="minorHAnsi" w:cstheme="minorBidi"/>
              <w:sz w:val="22"/>
              <w:szCs w:val="22"/>
              <w:lang w:eastAsia="fi-FI"/>
            </w:rPr>
          </w:pPr>
          <w:hyperlink w:anchor="_Toc137645928" w:history="1">
            <w:r w:rsidR="00482B9D" w:rsidRPr="002B62FB">
              <w:rPr>
                <w:rStyle w:val="Hyperlinkki"/>
              </w:rPr>
              <w:t>6.2 HUS-yhtymä</w:t>
            </w:r>
            <w:r w:rsidR="00482B9D">
              <w:rPr>
                <w:webHidden/>
              </w:rPr>
              <w:tab/>
            </w:r>
            <w:r w:rsidR="00482B9D">
              <w:rPr>
                <w:webHidden/>
              </w:rPr>
              <w:fldChar w:fldCharType="begin"/>
            </w:r>
            <w:r w:rsidR="00482B9D">
              <w:rPr>
                <w:webHidden/>
              </w:rPr>
              <w:instrText xml:space="preserve"> PAGEREF _Toc137645928 \h </w:instrText>
            </w:r>
            <w:r w:rsidR="00482B9D">
              <w:rPr>
                <w:webHidden/>
              </w:rPr>
            </w:r>
            <w:r w:rsidR="00482B9D">
              <w:rPr>
                <w:webHidden/>
              </w:rPr>
              <w:fldChar w:fldCharType="separate"/>
            </w:r>
            <w:r w:rsidR="00482B9D">
              <w:rPr>
                <w:webHidden/>
              </w:rPr>
              <w:t>17</w:t>
            </w:r>
            <w:r w:rsidR="00482B9D">
              <w:rPr>
                <w:webHidden/>
              </w:rPr>
              <w:fldChar w:fldCharType="end"/>
            </w:r>
          </w:hyperlink>
        </w:p>
        <w:p w14:paraId="1079DB90" w14:textId="7C1FA6A6" w:rsidR="00482B9D" w:rsidRDefault="00FC6C82">
          <w:pPr>
            <w:pStyle w:val="Sisluet2"/>
            <w:rPr>
              <w:rFonts w:asciiTheme="minorHAnsi" w:eastAsiaTheme="minorEastAsia" w:hAnsiTheme="minorHAnsi" w:cstheme="minorBidi"/>
              <w:sz w:val="22"/>
              <w:szCs w:val="22"/>
              <w:lang w:eastAsia="fi-FI"/>
            </w:rPr>
          </w:pPr>
          <w:hyperlink w:anchor="_Toc137645929" w:history="1">
            <w:r w:rsidR="00482B9D" w:rsidRPr="002B62FB">
              <w:rPr>
                <w:rStyle w:val="Hyperlinkki"/>
              </w:rPr>
              <w:t>6.3 Investointisääntelyn suhde rajoituslakiin</w:t>
            </w:r>
            <w:r w:rsidR="00482B9D">
              <w:rPr>
                <w:webHidden/>
              </w:rPr>
              <w:tab/>
            </w:r>
            <w:r w:rsidR="00482B9D">
              <w:rPr>
                <w:webHidden/>
              </w:rPr>
              <w:fldChar w:fldCharType="begin"/>
            </w:r>
            <w:r w:rsidR="00482B9D">
              <w:rPr>
                <w:webHidden/>
              </w:rPr>
              <w:instrText xml:space="preserve"> PAGEREF _Toc137645929 \h </w:instrText>
            </w:r>
            <w:r w:rsidR="00482B9D">
              <w:rPr>
                <w:webHidden/>
              </w:rPr>
            </w:r>
            <w:r w:rsidR="00482B9D">
              <w:rPr>
                <w:webHidden/>
              </w:rPr>
              <w:fldChar w:fldCharType="separate"/>
            </w:r>
            <w:r w:rsidR="00482B9D">
              <w:rPr>
                <w:webHidden/>
              </w:rPr>
              <w:t>17</w:t>
            </w:r>
            <w:r w:rsidR="00482B9D">
              <w:rPr>
                <w:webHidden/>
              </w:rPr>
              <w:fldChar w:fldCharType="end"/>
            </w:r>
          </w:hyperlink>
        </w:p>
        <w:p w14:paraId="2DE8CB67" w14:textId="5BCB8640" w:rsidR="00482B9D" w:rsidRDefault="00FC6C82">
          <w:pPr>
            <w:pStyle w:val="Sisluet2"/>
            <w:rPr>
              <w:rFonts w:asciiTheme="minorHAnsi" w:eastAsiaTheme="minorEastAsia" w:hAnsiTheme="minorHAnsi" w:cstheme="minorBidi"/>
              <w:sz w:val="22"/>
              <w:szCs w:val="22"/>
              <w:lang w:eastAsia="fi-FI"/>
            </w:rPr>
          </w:pPr>
          <w:hyperlink w:anchor="_Toc137645930" w:history="1">
            <w:r w:rsidR="00482B9D" w:rsidRPr="002B62FB">
              <w:rPr>
                <w:rStyle w:val="Hyperlinkki"/>
              </w:rPr>
              <w:t>6.4 Hyvinvointialueiden yhteiset investoinnit</w:t>
            </w:r>
            <w:r w:rsidR="00482B9D">
              <w:rPr>
                <w:webHidden/>
              </w:rPr>
              <w:tab/>
            </w:r>
            <w:r w:rsidR="00482B9D">
              <w:rPr>
                <w:webHidden/>
              </w:rPr>
              <w:fldChar w:fldCharType="begin"/>
            </w:r>
            <w:r w:rsidR="00482B9D">
              <w:rPr>
                <w:webHidden/>
              </w:rPr>
              <w:instrText xml:space="preserve"> PAGEREF _Toc137645930 \h </w:instrText>
            </w:r>
            <w:r w:rsidR="00482B9D">
              <w:rPr>
                <w:webHidden/>
              </w:rPr>
            </w:r>
            <w:r w:rsidR="00482B9D">
              <w:rPr>
                <w:webHidden/>
              </w:rPr>
              <w:fldChar w:fldCharType="separate"/>
            </w:r>
            <w:r w:rsidR="00482B9D">
              <w:rPr>
                <w:webHidden/>
              </w:rPr>
              <w:t>18</w:t>
            </w:r>
            <w:r w:rsidR="00482B9D">
              <w:rPr>
                <w:webHidden/>
              </w:rPr>
              <w:fldChar w:fldCharType="end"/>
            </w:r>
          </w:hyperlink>
        </w:p>
        <w:p w14:paraId="72A3D3EC" w14:textId="1C5C35A6" w:rsidR="00B9409F" w:rsidRDefault="00B9409F">
          <w:r>
            <w:rPr>
              <w:b/>
              <w:bCs/>
            </w:rPr>
            <w:fldChar w:fldCharType="end"/>
          </w:r>
        </w:p>
      </w:sdtContent>
    </w:sdt>
    <w:p w14:paraId="0D0B940D" w14:textId="77777777" w:rsidR="004A6755" w:rsidRPr="004A6755" w:rsidRDefault="004A6755" w:rsidP="004A6755">
      <w:pPr>
        <w:pStyle w:val="Otsikko1"/>
        <w:keepNext/>
        <w:keepLines/>
        <w:suppressAutoHyphens w:val="0"/>
        <w:spacing w:before="480" w:after="20" w:line="240" w:lineRule="auto"/>
        <w:jc w:val="both"/>
        <w:rPr>
          <w:rFonts w:cs="Arial"/>
          <w:szCs w:val="32"/>
        </w:rPr>
      </w:pPr>
    </w:p>
    <w:p w14:paraId="0E27B00A" w14:textId="77777777" w:rsidR="004A6755" w:rsidRDefault="004A6755">
      <w:pPr>
        <w:rPr>
          <w:rFonts w:ascii="Arial Narrow" w:hAnsi="Arial Narrow" w:cs="Arial"/>
          <w:b/>
          <w:color w:val="002F6C"/>
          <w:sz w:val="50"/>
          <w:szCs w:val="32"/>
          <w:lang w:val="fi-FI" w:eastAsia="fi-FI"/>
        </w:rPr>
      </w:pPr>
      <w:r>
        <w:rPr>
          <w:rFonts w:cs="Arial"/>
          <w:szCs w:val="32"/>
        </w:rPr>
        <w:br w:type="page"/>
      </w:r>
    </w:p>
    <w:p w14:paraId="0C7626DF" w14:textId="77777777" w:rsidR="001865D3" w:rsidRPr="00397113" w:rsidRDefault="004A6755" w:rsidP="00D354E2">
      <w:pPr>
        <w:pStyle w:val="Otsikko1"/>
        <w:keepNext/>
        <w:keepLines/>
        <w:numPr>
          <w:ilvl w:val="0"/>
          <w:numId w:val="8"/>
        </w:numPr>
        <w:suppressAutoHyphens w:val="0"/>
        <w:spacing w:before="480" w:after="20" w:line="240" w:lineRule="auto"/>
        <w:ind w:left="0" w:firstLine="0"/>
        <w:jc w:val="both"/>
        <w:rPr>
          <w:rFonts w:cs="Arial"/>
        </w:rPr>
      </w:pPr>
      <w:bookmarkStart w:id="3" w:name="_Toc137645912"/>
      <w:r w:rsidRPr="00397113">
        <w:rPr>
          <w:rFonts w:cs="Arial"/>
        </w:rPr>
        <w:lastRenderedPageBreak/>
        <w:t>Johdanto</w:t>
      </w:r>
      <w:bookmarkEnd w:id="0"/>
      <w:bookmarkEnd w:id="3"/>
    </w:p>
    <w:p w14:paraId="093AE285" w14:textId="77777777" w:rsidR="004A6755" w:rsidRDefault="004A6755" w:rsidP="004A6755">
      <w:pPr>
        <w:pStyle w:val="Leipteksti"/>
      </w:pPr>
      <w:r>
        <w:t xml:space="preserve">Keskeisenä ohjaavana periaatteena investointien ohjauksen prosessissa on, että se kohdentuu strategiselle tasolle. Investointien ohjauksesta säädetään useassa (6) eri laissa, minkä vuoksi on tarpeellista koota eri lakeihin sisältyvät investointeja koskevat säädökset yhteen ohjeeseen. Investointien ohjaus on kiinteä osa hyvinvointialueiden toiminnan ohjausta ja johtamista. </w:t>
      </w:r>
    </w:p>
    <w:p w14:paraId="4E8AA3F3" w14:textId="77777777" w:rsidR="004A6755" w:rsidRDefault="004A6755" w:rsidP="004A6755">
      <w:pPr>
        <w:pStyle w:val="Leipteksti"/>
      </w:pPr>
      <w:r>
        <w:t xml:space="preserve">Tämän oppaan tarkoituksena on selkiyttää investointien suunnittelun asemaa kansallisessa ohjauksessa ja hyvinvointialueiden strategisen tason ohjauksessa sekä auttaa hyvinvointialueita niiden investointisuunnitelman laatimisessa. Oppaan kohderyhmänä voidaan tunnistaa erityisesti henkilöt, joiden tehtävät hyvinvointialueilla liittyvät hyvinvointialueen strategisen tason ohjaamiseen sekä investointien suunnitteluun. </w:t>
      </w:r>
    </w:p>
    <w:p w14:paraId="17AE6C17" w14:textId="77777777" w:rsidR="004A6755" w:rsidRDefault="004A6755" w:rsidP="004A6755">
      <w:pPr>
        <w:pStyle w:val="Leipteksti"/>
      </w:pPr>
      <w:r>
        <w:t xml:space="preserve">Hyvinvointialueiden rahoitus tulee alkuvaiheessa perustumaan yleiskatteelliseen valtion rahoitukseen. Valtio kantaa viimekätisen vastuun hyvinvointialueiden rahoituksen riittävyydestä. Tästä syystä hyvinvointialueilla ei voi olla itsenäistä oikeutta pitkäaikaiseen lainanottoon, koska rajoittamattoman lainanotto-oikeuden myötä myös valtion riskit kasvaisivat ilman valtion omaa päätöksentekoa. Ohjeessa kuvattu sääntely koskee sitä aikaa, kun toiminta on valtion rahoittamaa. </w:t>
      </w:r>
    </w:p>
    <w:p w14:paraId="038C90CE" w14:textId="77777777" w:rsidR="004A6755" w:rsidRDefault="004A6755" w:rsidP="004A6755">
      <w:pPr>
        <w:pStyle w:val="Leipteksti"/>
      </w:pPr>
      <w:r>
        <w:t xml:space="preserve">Hyvinvointialueiden investointeja rajoittaa valtioneuvoston vahvistama lainanottovaltuus, ja hyvinvointialueita koskee myös velvollisuus laatia investointisuunnitelma ministeriön hyväksyttäväksi. Tarkoituksena on varmistaa, että hyvinvointialue suunnittelee investoinnit taloudellisesti kestävästi siten, että niihin käytettävissä oleva rahoitus riittää ja että hyvinvointialueiden laajoja investointeja koskevat hankkeet suunnitellaan valtakunnallisten strategisten tavoitteiden mukaisesti ja kustannusvaikuttavasti huomioiden muiden hyvinvointialueiden vastaavat suunnitelmat sekä väestön palvelutarpeet. Hyvinvointialueen rahoituksen riittävyys varmistetaan vuosittain vahvistettavalla investointeja varten otettavan pitkäaikaisen lainan ottamista koskevalla rajoitteella. Investointisuunnitelma on hyväksyttävä, jos hylkäämisen kriteerit eivät täyty. </w:t>
      </w:r>
    </w:p>
    <w:p w14:paraId="2817B6BD" w14:textId="77777777" w:rsidR="004A6755" w:rsidRPr="004A6755" w:rsidRDefault="004A6755" w:rsidP="004A6755">
      <w:pPr>
        <w:pStyle w:val="Leipteksti"/>
      </w:pPr>
      <w:r>
        <w:t>Helsingin kaupungin ja HUS-yhtymän osalta menettelyjä on kuvattu siltä osin, kun ne poikkeavat hyvinvointialueista.</w:t>
      </w:r>
    </w:p>
    <w:p w14:paraId="43362E27" w14:textId="77777777" w:rsidR="004A6755" w:rsidRPr="00397113" w:rsidRDefault="004A6755" w:rsidP="00D354E2">
      <w:pPr>
        <w:pStyle w:val="Otsikko1"/>
        <w:keepNext/>
        <w:keepLines/>
        <w:numPr>
          <w:ilvl w:val="0"/>
          <w:numId w:val="8"/>
        </w:numPr>
        <w:suppressAutoHyphens w:val="0"/>
        <w:spacing w:before="480" w:after="20" w:line="240" w:lineRule="auto"/>
        <w:ind w:left="0" w:firstLine="0"/>
        <w:jc w:val="both"/>
        <w:rPr>
          <w:rFonts w:cs="Arial"/>
        </w:rPr>
      </w:pPr>
      <w:bookmarkStart w:id="4" w:name="_Toc106286989"/>
      <w:bookmarkStart w:id="5" w:name="_Toc137645913"/>
      <w:r w:rsidRPr="00397113">
        <w:rPr>
          <w:rFonts w:cs="Arial"/>
        </w:rPr>
        <w:t>Investointien sisällöllinen määrittely</w:t>
      </w:r>
      <w:bookmarkEnd w:id="4"/>
      <w:bookmarkEnd w:id="5"/>
    </w:p>
    <w:p w14:paraId="2EE787B5" w14:textId="77777777" w:rsidR="004B7E87" w:rsidRDefault="004A6755" w:rsidP="004A6755">
      <w:pPr>
        <w:pStyle w:val="Leipteksti"/>
      </w:pPr>
      <w:r>
        <w:t>Investoinneilla sidotaan taloudellisia voimavaroja pitkäaikaisesti tiettyyn kohteeseen. Investoinnilla tarkoitetaan kirjanpidollisessa mielessä hankintaa, jota voidaan hyödyntää palvelutoiminnassa tai joka tuottaa tuloa useampana vuotena. Investointeja ovat taseen pysyvien vastaavien erään kuuluvat aineettomat ja aineelliset hyödykkeet sekä sijoitukset, joiden taloudellinen pitoaika on useita tilikausia.</w:t>
      </w:r>
    </w:p>
    <w:p w14:paraId="5E824C30" w14:textId="77777777" w:rsidR="004A6755" w:rsidRDefault="004A6755" w:rsidP="004A6755">
      <w:pPr>
        <w:pStyle w:val="Leipteksti"/>
      </w:pPr>
      <w:r>
        <w:t xml:space="preserve">Investointi voi olla maa-alueen, rakennuksen, koneiden ja laitteiden hankinta tai niiden perusparantaminen. Investointi voi olla myös muu pitkävaikutteinen meno kuten tietojärjestelmän tai osakkeiden hankinta tai </w:t>
      </w:r>
      <w:r>
        <w:lastRenderedPageBreak/>
        <w:t>osallistuminen toisen yhteisön investoinnin rahoittamiseen, silloin kun osallistumisesta on hyötyä myös hyvinvointialueen toiminnassa.</w:t>
      </w:r>
    </w:p>
    <w:p w14:paraId="5EC549CE" w14:textId="77777777" w:rsidR="004A6755" w:rsidRDefault="004A6755" w:rsidP="004A6755">
      <w:pPr>
        <w:pStyle w:val="Leipteksti"/>
      </w:pPr>
      <w:r>
        <w:t>Investointisuunnitelmassa ja talousarvion investointiosassa investoinniksi ei katsota kiinteistöjen ylläpito- ja vuosikorjauksia sekä mahdollisia vahinkojen korjauksia, koska ne eivät ole kirjanpito-ohjeiden mukaisesti investointimenoja eikä niitä siten koske investointisuunnitelmaa koskeva sääntely. Nämä esitetään talousarvion käyttötalousosassa ja kirjataan taseen sijasta ainoastaan tuloslaskelmaan.</w:t>
      </w:r>
    </w:p>
    <w:p w14:paraId="21D826ED" w14:textId="77777777" w:rsidR="004A6755" w:rsidRDefault="004A6755" w:rsidP="004A6755">
      <w:pPr>
        <w:pStyle w:val="Leipteksti"/>
      </w:pPr>
      <w:r>
        <w:t>Investoinnin ja ylläpito- sekä vuosikorjauksen määrittely riippuu siitä, korjataanko alkuperäiseen tasoon vai parantuuko taso. Kyseessä on myös kuntien ja kuntayhtymien taloudessa vakiintunut jaottelu käyttötalousmenoihin ja investointimenoihin kirjattaviin korjauksiin. Hyvinvointialueen taloudessa noudatetaan samoja periaatteita. Kirjanpito-ohjeiden mukaan investointeja ovat ne perusparannusmenot, jotka parantavat hyödykkeen tulon- tai palveluntuottamiskykyä alkuperäistä suuremmaksi. Hyödykkeen tulon- tai palveluntuottamiskyvyn voidaan katsoa kasvaneen, jos korjaus johtaa hyödykkeen taloudellisen pitoajan ja hyödykkeen tuotantokapasiteetin kasvuun, suoritteiden laadun merkittävään parantumiseen tai tuotantoprosessin kustannusten merkittävään vähentymiseen.</w:t>
      </w:r>
    </w:p>
    <w:p w14:paraId="550D3644" w14:textId="77777777" w:rsidR="004A6755" w:rsidRDefault="004A6755" w:rsidP="004A6755">
      <w:pPr>
        <w:pStyle w:val="Leipteksti"/>
      </w:pPr>
      <w:r>
        <w:t xml:space="preserve">Lisäksi hyvinvointialueen tulee investointisuunnitelmassa esittää tiedot yllä kuvatulla tavalla määriteltyjä investointeja vastaavista sopimuksista, vaikka niitä ei käsitellä talouden suunnittelussa investointeina. Tämä on tarpeen, koska esimerkiksi toimitilat voidaan rahoittaa usealla eri tavalla. Perinteisen, omaan taseeseen tehtävän investoinnin lisäksi toimitiloja on mahdollista hankkia myös erilaisilla vuokramalleilla, kuten kiinteistöleasing-sopimuksilla ja yhteistyömalleilla kuten niin kutsutuilla elinkaarimalleilla. Nämä rinnastetaan investointien ohjausta ja investointisuunnitelmaa koskevassa sääntelyssä investointeihin. </w:t>
      </w:r>
    </w:p>
    <w:p w14:paraId="1485C820" w14:textId="68DE0952" w:rsidR="004A6755" w:rsidRDefault="004A6755" w:rsidP="004A6755">
      <w:pPr>
        <w:pStyle w:val="Leipteksti"/>
      </w:pPr>
      <w:r>
        <w:t xml:space="preserve">Hyvinvointialueista annetun lain (611/2021) 16 §:n 1 momentissa tarkoitettuja investointeja vastaavia sopimuksia ovat lisäksi muun muassa pitkäaikaiset toimitilojen vuokrasopimukset sekä muut sopimukset, joissa on kysymys sitoutumisesta useampaa vuotta koskevaan sopimukseen, esimerkkinä tietojärjestelmähankkeet. Investointisuunnitelmaan sisällytetään sopimuksen arvo. Investointia vastaavan sopimuksen arvo merkitään investointisuunnitelmaan koko sopimuskauden yhteenlaskettuina maksuina eli maksuina, joiden määrään hyvinvointialue on sopimuksessa sitoutunut. Usein vuokra- ja leasinghankkeissa on kyse korvausinvestoinnista, jolloin investointisuunnitelmassa esitetään uuden vastuun syntyminen sekä mahdollinen vanhan vastuun poistuminen. </w:t>
      </w:r>
      <w:r w:rsidR="00DF6E16">
        <w:t xml:space="preserve">Lainanottovaltuuden käytön näkökulmasta uusi investointi syö lainanottovaltuutta koko bruttomäärällään. Vanha poistuva sopimus tulee huomioiduksi siten, että se synnyttää uutta lainanottovaltuutta vuosikatteen parantumisen kautta. </w:t>
      </w:r>
      <w:r>
        <w:t xml:space="preserve">Kuntien hyvinvointialueelle toteuttamat hankkeet esitetään kuten muutkin investointia korvaavat sopimukset. Vuokrahankkeet esitetään sen vuoden investointisuunnitelmassa, kun niistä tehdään sitoumus. Investointisuunnitelmasta tulee käydä </w:t>
      </w:r>
      <w:r w:rsidR="00DF6E16">
        <w:t xml:space="preserve">kunkin investointia vastaavan sopimuksen osalta </w:t>
      </w:r>
      <w:r>
        <w:t xml:space="preserve">myös </w:t>
      </w:r>
      <w:r w:rsidR="00DF6E16">
        <w:t>vuokranmaksun alkamisvuosi, koska alkamisvuosi vaikuttaa lainanottovaltuuden laskentaan</w:t>
      </w:r>
      <w:r w:rsidR="00311529">
        <w:t>, vapauttaen aiempiin investointisuunnitelmiin sidottua lainanottovaltuutta</w:t>
      </w:r>
      <w:r w:rsidR="00DF6E16">
        <w:t xml:space="preserve">. </w:t>
      </w:r>
    </w:p>
    <w:p w14:paraId="7412091D" w14:textId="77777777" w:rsidR="004A6755" w:rsidRDefault="004A6755" w:rsidP="004A6755">
      <w:pPr>
        <w:pStyle w:val="Leipteksti"/>
      </w:pPr>
      <w:r>
        <w:t xml:space="preserve">Lisäksi investointiesityksen tulee sisältää edellä mainittujen hyödykkeiden luovutukset. Tämä tarkoittaa, että esimerkiksi toimitilojen ja sopimusten suunnitellut luovutukset tulisi esittää investointisuunnitelmassa. Jos hyvinvointialue haluaa perustaa esimerkiksi </w:t>
      </w:r>
      <w:proofErr w:type="spellStart"/>
      <w:r>
        <w:t>sosiaali</w:t>
      </w:r>
      <w:proofErr w:type="spellEnd"/>
      <w:r>
        <w:t xml:space="preserve">- ja terveydenhuollon toimitilojen hallinnointia varten erillisen kiinteistöyhtiön, yhtiölle luovutettaviksi aiotut toimitilat tulee sisällyttää investointisuunnitelmaan. </w:t>
      </w:r>
      <w:r>
        <w:lastRenderedPageBreak/>
        <w:t>Investointisuunnitelmassa kuvataan myös rahavarojen käyttö investointien rahoittamiseen sekä muu investointien rahoitus kuten mahdolliset investointituet.</w:t>
      </w:r>
    </w:p>
    <w:p w14:paraId="74B0ED71" w14:textId="77777777" w:rsidR="004A6755" w:rsidRDefault="004A6755" w:rsidP="004A6755">
      <w:pPr>
        <w:pStyle w:val="Leipteksti"/>
      </w:pPr>
      <w:r>
        <w:t xml:space="preserve">Investointien ohjauksen prosessissa investoinnin käsite on siis laajempi, kuin sen pelkkä kirjanpidollinen tulkinta, kun myös investointeja vastaavat sopimukset sisällytetään suunnitelmaan. </w:t>
      </w:r>
    </w:p>
    <w:p w14:paraId="42A7D6D0" w14:textId="77777777" w:rsidR="004A6755" w:rsidRPr="004A6755" w:rsidRDefault="004A6755" w:rsidP="004A6755">
      <w:pPr>
        <w:pStyle w:val="Leipteksti"/>
      </w:pPr>
      <w:r>
        <w:t>Investoinnit ja luovutukset voidaan esittää investointisuunnitelmassa merkittäviä investointeja lukuun ottamatta luokiteltuna hyödykeryhmittäin vastaavalla tavalla kuin hyvinvointialueen talousarvion investointiosassa. Tämä tarkoittaa, että investointisuunnitelmassa ei tarvitse yksilöidä esimerkiksi kaikkia irtaimen omaisuuden hankintoja, kuten koneita ja kalustoa lukuun ottamatta taloudellisesti merkittäviä irtaimen omaisuuden hankintoja.</w:t>
      </w:r>
    </w:p>
    <w:p w14:paraId="0402F3F7" w14:textId="77777777" w:rsidR="004A6755" w:rsidRPr="00397113" w:rsidRDefault="004A6755" w:rsidP="00D354E2">
      <w:pPr>
        <w:pStyle w:val="Otsikko1"/>
        <w:keepNext/>
        <w:keepLines/>
        <w:numPr>
          <w:ilvl w:val="0"/>
          <w:numId w:val="8"/>
        </w:numPr>
        <w:suppressAutoHyphens w:val="0"/>
        <w:spacing w:before="480" w:after="160" w:line="240" w:lineRule="auto"/>
        <w:ind w:left="0" w:firstLine="0"/>
        <w:jc w:val="both"/>
        <w:rPr>
          <w:rFonts w:cs="Arial"/>
        </w:rPr>
      </w:pPr>
      <w:bookmarkStart w:id="6" w:name="_Toc106286990"/>
      <w:bookmarkStart w:id="7" w:name="_Toc137645914"/>
      <w:r w:rsidRPr="00397113">
        <w:rPr>
          <w:rFonts w:cs="Arial"/>
        </w:rPr>
        <w:t>Investointisuunnitelma</w:t>
      </w:r>
      <w:bookmarkStart w:id="8" w:name="_Toc106286995"/>
      <w:bookmarkEnd w:id="6"/>
      <w:bookmarkEnd w:id="7"/>
    </w:p>
    <w:p w14:paraId="348081BC" w14:textId="77777777" w:rsidR="004A6755" w:rsidRDefault="004A6755" w:rsidP="00B9409F">
      <w:pPr>
        <w:pStyle w:val="Otsikko2"/>
      </w:pPr>
      <w:bookmarkStart w:id="9" w:name="_Toc137645915"/>
      <w:r>
        <w:t xml:space="preserve">3.1 </w:t>
      </w:r>
      <w:r w:rsidRPr="004A6755">
        <w:t>Investointisuunnitelman sisältö ja sitä koskeva</w:t>
      </w:r>
      <w:r>
        <w:t xml:space="preserve"> </w:t>
      </w:r>
      <w:r w:rsidRPr="004A6755">
        <w:t>päätöksenteko</w:t>
      </w:r>
      <w:bookmarkEnd w:id="9"/>
    </w:p>
    <w:p w14:paraId="3C703F51" w14:textId="77777777" w:rsidR="004A6755" w:rsidRDefault="004A6755" w:rsidP="004A6755">
      <w:pPr>
        <w:pStyle w:val="Leipteksti"/>
        <w:rPr>
          <w:lang w:eastAsia="en-US"/>
        </w:rPr>
      </w:pPr>
      <w:r>
        <w:rPr>
          <w:lang w:eastAsia="en-US"/>
        </w:rPr>
        <w:t xml:space="preserve">Hyvinvointialueen velvollisuudesta toimittaa investointisuunnitelmaa koskeva esitys kalenterivuosittain </w:t>
      </w:r>
      <w:proofErr w:type="spellStart"/>
      <w:r>
        <w:rPr>
          <w:lang w:eastAsia="en-US"/>
        </w:rPr>
        <w:t>sosiaali</w:t>
      </w:r>
      <w:proofErr w:type="spellEnd"/>
      <w:r>
        <w:rPr>
          <w:lang w:eastAsia="en-US"/>
        </w:rPr>
        <w:t>- ja terveysministeriölle, sisäministeriölle ja valtiovarainministeriölle säädetään hyvinvointialueesta annetun lain 16 §:</w:t>
      </w:r>
      <w:proofErr w:type="spellStart"/>
      <w:r>
        <w:rPr>
          <w:lang w:eastAsia="en-US"/>
        </w:rPr>
        <w:t>ssä</w:t>
      </w:r>
      <w:proofErr w:type="spellEnd"/>
      <w:r>
        <w:rPr>
          <w:lang w:eastAsia="en-US"/>
        </w:rPr>
        <w:t xml:space="preserve">. </w:t>
      </w:r>
      <w:proofErr w:type="spellStart"/>
      <w:r>
        <w:rPr>
          <w:lang w:eastAsia="en-US"/>
        </w:rPr>
        <w:t>Sosiaali</w:t>
      </w:r>
      <w:proofErr w:type="spellEnd"/>
      <w:r>
        <w:rPr>
          <w:lang w:eastAsia="en-US"/>
        </w:rPr>
        <w:t>- ja terveysministeriö hylkää hyvinvointialueen investointisuunnitelmaa koskevan esityksen, jos se on ristiriidassa hyvinvointialueesta annetun lain 15 §:ssä tarkoitetun hyvinvointialueen lainanottovaltuud</w:t>
      </w:r>
      <w:r w:rsidR="00B9409F">
        <w:rPr>
          <w:lang w:eastAsia="en-US"/>
        </w:rPr>
        <w:t xml:space="preserve">en kanssa. </w:t>
      </w:r>
    </w:p>
    <w:p w14:paraId="5F49B519" w14:textId="77777777" w:rsidR="004A6755" w:rsidRDefault="004A6755" w:rsidP="004A6755">
      <w:pPr>
        <w:pStyle w:val="Leipteksti"/>
        <w:rPr>
          <w:lang w:eastAsia="en-US"/>
        </w:rPr>
      </w:pPr>
      <w:r>
        <w:rPr>
          <w:lang w:eastAsia="en-US"/>
        </w:rPr>
        <w:t>Investointisuunnitelma käsitellään kokonaisuutena eli yksittäisiä hankkeita ei kä</w:t>
      </w:r>
      <w:r w:rsidR="00B9409F">
        <w:rPr>
          <w:lang w:eastAsia="en-US"/>
        </w:rPr>
        <w:t xml:space="preserve">sitellä, hyväksytä tai hylätä. </w:t>
      </w:r>
    </w:p>
    <w:p w14:paraId="1DBC090B" w14:textId="77777777" w:rsidR="004A6755" w:rsidRDefault="004A6755" w:rsidP="004A6755">
      <w:pPr>
        <w:pStyle w:val="Leipteksti"/>
        <w:rPr>
          <w:lang w:eastAsia="en-US"/>
        </w:rPr>
      </w:pPr>
      <w:r>
        <w:rPr>
          <w:lang w:eastAsia="en-US"/>
        </w:rPr>
        <w:t xml:space="preserve">Saatuaan hyvinvointialueen investointisuunnitelman, </w:t>
      </w:r>
      <w:proofErr w:type="spellStart"/>
      <w:r>
        <w:rPr>
          <w:lang w:eastAsia="en-US"/>
        </w:rPr>
        <w:t>sosiaali</w:t>
      </w:r>
      <w:proofErr w:type="spellEnd"/>
      <w:r>
        <w:rPr>
          <w:lang w:eastAsia="en-US"/>
        </w:rPr>
        <w:t xml:space="preserve">- ja terveysministeriö ja vastaavasti sisäministeriö hyväksyy tai hylkää suunnitelman.  Jos </w:t>
      </w:r>
      <w:proofErr w:type="spellStart"/>
      <w:r>
        <w:rPr>
          <w:lang w:eastAsia="en-US"/>
        </w:rPr>
        <w:t>sosiaali</w:t>
      </w:r>
      <w:proofErr w:type="spellEnd"/>
      <w:r>
        <w:rPr>
          <w:lang w:eastAsia="en-US"/>
        </w:rPr>
        <w:t xml:space="preserve">- ja terveysministeriö ei hylkää hyvinvointialueen investointisuunnitelmaa koskevaa esitystä, se tekee päätöksen esitykseen sisältyvän </w:t>
      </w:r>
      <w:proofErr w:type="spellStart"/>
      <w:r>
        <w:rPr>
          <w:lang w:eastAsia="en-US"/>
        </w:rPr>
        <w:t>sosiaali</w:t>
      </w:r>
      <w:proofErr w:type="spellEnd"/>
      <w:r>
        <w:rPr>
          <w:lang w:eastAsia="en-US"/>
        </w:rPr>
        <w:t>- ja terveydenhuollon o</w:t>
      </w:r>
      <w:r w:rsidR="00B9409F">
        <w:rPr>
          <w:lang w:eastAsia="en-US"/>
        </w:rPr>
        <w:t xml:space="preserve">sasuunnitelman hyväksymisestä. </w:t>
      </w:r>
    </w:p>
    <w:p w14:paraId="23FBF30D" w14:textId="77777777" w:rsidR="004A6755" w:rsidRDefault="004A6755" w:rsidP="004A6755">
      <w:pPr>
        <w:pStyle w:val="Leipteksti"/>
        <w:rPr>
          <w:lang w:eastAsia="en-US"/>
        </w:rPr>
      </w:pPr>
      <w:r>
        <w:rPr>
          <w:lang w:eastAsia="en-US"/>
        </w:rPr>
        <w:t xml:space="preserve">Jos asianomainen ministeriö jättää investointisuunnitelmaa koskevaan esitykseen sisältyvän </w:t>
      </w:r>
      <w:proofErr w:type="spellStart"/>
      <w:r>
        <w:rPr>
          <w:lang w:eastAsia="en-US"/>
        </w:rPr>
        <w:t>sosiaali</w:t>
      </w:r>
      <w:proofErr w:type="spellEnd"/>
      <w:r>
        <w:rPr>
          <w:lang w:eastAsia="en-US"/>
        </w:rPr>
        <w:t xml:space="preserve">- ja terveydenhuollon tai pelastustoimen osasuunnitelman hyväksymättä, hyvinvointialueen on toimitettava hyväksymättä jätetyn osasuunnitelman korvaava esitys viivytyksettä </w:t>
      </w:r>
      <w:proofErr w:type="spellStart"/>
      <w:r>
        <w:rPr>
          <w:lang w:eastAsia="en-US"/>
        </w:rPr>
        <w:t>sosiaali</w:t>
      </w:r>
      <w:proofErr w:type="spellEnd"/>
      <w:r>
        <w:rPr>
          <w:lang w:eastAsia="en-US"/>
        </w:rPr>
        <w:t>- ja terveysministeriölle, sisäministeriölle</w:t>
      </w:r>
      <w:r w:rsidR="00B9409F">
        <w:rPr>
          <w:lang w:eastAsia="en-US"/>
        </w:rPr>
        <w:t xml:space="preserve"> ja valtiovarainministeriölle. </w:t>
      </w:r>
    </w:p>
    <w:p w14:paraId="5C9912A8" w14:textId="77777777" w:rsidR="004A6755" w:rsidRDefault="004A6755" w:rsidP="004A6755">
      <w:pPr>
        <w:pStyle w:val="Leipteksti"/>
        <w:rPr>
          <w:lang w:eastAsia="en-US"/>
        </w:rPr>
      </w:pPr>
      <w:r>
        <w:rPr>
          <w:lang w:eastAsia="en-US"/>
        </w:rPr>
        <w:t>Muiden kuin Helsingin kaupungin uusi osasuunnitelmaa koskeva esitys voidaan hyväksyä vain, jos siihen sisältyvä hyvinvointialueen pitkäaikaisen lainan määrä on enintään hyväksymättä jätettyyn osasuunnitelmaan sisältyneen hyvinvointialueen pitkäaikaisen lainan määrän suuruinen.</w:t>
      </w:r>
    </w:p>
    <w:p w14:paraId="04F4FB4C" w14:textId="77777777" w:rsidR="004A6755" w:rsidRDefault="004A6755" w:rsidP="004A6755">
      <w:pPr>
        <w:pStyle w:val="Otsikko2"/>
      </w:pPr>
      <w:bookmarkStart w:id="10" w:name="_Toc137645916"/>
      <w:r w:rsidRPr="004A6755">
        <w:lastRenderedPageBreak/>
        <w:t>3.2 Investointisuunnitelman esittämismuoto</w:t>
      </w:r>
      <w:bookmarkEnd w:id="10"/>
    </w:p>
    <w:p w14:paraId="38A6CE9E" w14:textId="77777777" w:rsidR="004A6755" w:rsidRDefault="004A6755" w:rsidP="004A6755">
      <w:pPr>
        <w:pStyle w:val="Leipteksti"/>
        <w:rPr>
          <w:lang w:eastAsia="en-US"/>
        </w:rPr>
      </w:pPr>
      <w:r>
        <w:rPr>
          <w:lang w:eastAsia="en-US"/>
        </w:rPr>
        <w:t xml:space="preserve">Hyvinvointialueesta annetun lain 16 §:n mukaan hyvinvointialueen on vuosittain laadittava investointisuunnitelma seuraavaa tilikautta seuraavien neljän tilikauden aikana aloitettavista hyvinvointialuekonsernin investoinneista ja niiden rahoituksesta. Investointisuunnitelma koostuu </w:t>
      </w:r>
      <w:proofErr w:type="spellStart"/>
      <w:r>
        <w:rPr>
          <w:lang w:eastAsia="en-US"/>
        </w:rPr>
        <w:t>sosiaali</w:t>
      </w:r>
      <w:proofErr w:type="spellEnd"/>
      <w:r>
        <w:rPr>
          <w:lang w:eastAsia="en-US"/>
        </w:rPr>
        <w:t xml:space="preserve">- ja terveydenhuollon sekä pelastustoimen osasuunnitelmista. Investointisuunnitelman tulee sisältää tiedot investoinneista ja investointia vastaavista sopimuksista. Lisäksi sen tulee sisältää tiedot hyvinvointialueen toimitilojen ja kiinteistöjen sekä muiden pitkävaikutteisten hyödykkeiden suunnitelluista luovutuksista. Luettelo ei olisi tyhjentävä, vaan myös muita kokonaisuuksia koskevista investoinneista tulisi esittää tiedot. Näitä olisivat etenkin tiedot laitteita, kalustoa sekä tieto- ja viestintäteknisiä ratkaisuja koskevista investoinneista. </w:t>
      </w:r>
    </w:p>
    <w:p w14:paraId="0C1BA662" w14:textId="77777777" w:rsidR="004A6755" w:rsidRDefault="004A6755" w:rsidP="004A6755">
      <w:pPr>
        <w:pStyle w:val="Leipteksti"/>
        <w:rPr>
          <w:lang w:eastAsia="en-US"/>
        </w:rPr>
      </w:pPr>
      <w:r>
        <w:rPr>
          <w:lang w:eastAsia="en-US"/>
        </w:rPr>
        <w:t xml:space="preserve">Investointisuunnitelma ei saa olla ristiriidassa hyvinvointialueesta annettavan lain 15 §:ssä tarkoitetun hyvinvointialueen lainanottovaltuuden kanssa, eli lainanottovaltuuden perusteella otettavaksi suunnitellun lainarahoituksen sekä mahdollisen muun rahoituksen tulee kattaa suunnitelman sisältävät menot. </w:t>
      </w:r>
    </w:p>
    <w:p w14:paraId="6A09B3FE" w14:textId="77777777" w:rsidR="004A6755" w:rsidRDefault="004A6755" w:rsidP="004A6755">
      <w:pPr>
        <w:pStyle w:val="Leipteksti"/>
        <w:rPr>
          <w:lang w:eastAsia="en-US"/>
        </w:rPr>
      </w:pPr>
      <w:r>
        <w:rPr>
          <w:lang w:eastAsia="en-US"/>
        </w:rPr>
        <w:t>Investointien ja niitä vastaavien sopimusten lisäksi suunnitelmassa tulee esittää kuvaus investointien rahoittamisesta pitkäaikaisilla lainoilla, omaisuuden luovutuksilla, kertyneillä rahavaroilla ja investointeihin kohdistuvilla tuilla. Investointien määrä ja tarvittava lainanottovaltuus eivät siis välttämättä vastaa suuruudeltaan toisiaan.</w:t>
      </w:r>
    </w:p>
    <w:p w14:paraId="79D4C440" w14:textId="77777777" w:rsidR="004A6755" w:rsidRDefault="004A6755" w:rsidP="004A6755">
      <w:pPr>
        <w:pStyle w:val="Leipteksti"/>
        <w:rPr>
          <w:lang w:eastAsia="en-US"/>
        </w:rPr>
      </w:pPr>
      <w:r>
        <w:rPr>
          <w:lang w:eastAsia="en-US"/>
        </w:rPr>
        <w:t xml:space="preserve">Esityksessä on otettava huomioon </w:t>
      </w:r>
      <w:proofErr w:type="spellStart"/>
      <w:r>
        <w:rPr>
          <w:lang w:eastAsia="en-US"/>
        </w:rPr>
        <w:t>sosiaali</w:t>
      </w:r>
      <w:proofErr w:type="spellEnd"/>
      <w:r>
        <w:rPr>
          <w:lang w:eastAsia="en-US"/>
        </w:rPr>
        <w:t>- ja terveydenhuollon järjestämislain (612/2021) 36 §:ssä tarkoitetun yhteistyöalueen yhteistyösopimuksessa sovitut investoinnit. Esityksessä tulee siten yksilöidä hyvinvointialueen vastuulle yhteistyösopimuksessa sovitut hankkeet ja suunnitellut maksuosuudet. Jokainen investointiin osallistuva esittää oman maksuosuutensa investointimenona. Yhteistyösopimuksen mukaisesti päävastuussa oleva taho kuvaa investoinnin sisällön.</w:t>
      </w:r>
    </w:p>
    <w:p w14:paraId="0BC1C578" w14:textId="77777777" w:rsidR="004A6755" w:rsidRDefault="004A6755" w:rsidP="004A6755">
      <w:pPr>
        <w:pStyle w:val="Leipteksti"/>
        <w:rPr>
          <w:lang w:eastAsia="en-US"/>
        </w:rPr>
      </w:pPr>
      <w:proofErr w:type="spellStart"/>
      <w:r>
        <w:rPr>
          <w:lang w:eastAsia="en-US"/>
        </w:rPr>
        <w:t>Sosiaali</w:t>
      </w:r>
      <w:proofErr w:type="spellEnd"/>
      <w:r>
        <w:rPr>
          <w:lang w:eastAsia="en-US"/>
        </w:rPr>
        <w:t xml:space="preserve">- ja terveydenhuollon ja pelastustoimen valtakunnallisissa tavoitteissa määritellään investointeja koskevat linjaukset. Tärkeitä investointeja ovat esimerkiksi toimitila-, kiinteistö-, laite-, kalusto- sekä tieto- ja viestintätekniikkainvestoinnit. (Laki </w:t>
      </w:r>
      <w:proofErr w:type="spellStart"/>
      <w:r>
        <w:rPr>
          <w:lang w:eastAsia="en-US"/>
        </w:rPr>
        <w:t>sosiaali</w:t>
      </w:r>
      <w:proofErr w:type="spellEnd"/>
      <w:r>
        <w:rPr>
          <w:lang w:eastAsia="en-US"/>
        </w:rPr>
        <w:t xml:space="preserve">- ja terveydenhuollon järjestämisestä 22 §, Laki pelastustoimen järjestämisestä 8 §). Tavoitteena on kehittää sekä </w:t>
      </w:r>
      <w:proofErr w:type="spellStart"/>
      <w:r>
        <w:rPr>
          <w:lang w:eastAsia="en-US"/>
        </w:rPr>
        <w:t>sosiaali</w:t>
      </w:r>
      <w:proofErr w:type="spellEnd"/>
      <w:r>
        <w:rPr>
          <w:lang w:eastAsia="en-US"/>
        </w:rPr>
        <w:t xml:space="preserve">– ja terveydenhuollon että pelastustoimen perustana olevaa infrastruktuuria koko maan tasolla tavalla, joka ottaa huomioon sekä valtakunnalliset että alueelliset näkökulmat. Investoinnit </w:t>
      </w:r>
      <w:proofErr w:type="gramStart"/>
      <w:r>
        <w:rPr>
          <w:lang w:eastAsia="en-US"/>
        </w:rPr>
        <w:t>on</w:t>
      </w:r>
      <w:proofErr w:type="gramEnd"/>
      <w:r>
        <w:rPr>
          <w:lang w:eastAsia="en-US"/>
        </w:rPr>
        <w:t xml:space="preserve"> tarkoituksenmukaista esittää vastaavalla jaottelulla.</w:t>
      </w:r>
    </w:p>
    <w:p w14:paraId="698B859D" w14:textId="77777777" w:rsidR="004A6755" w:rsidRDefault="004A6755" w:rsidP="004A6755">
      <w:pPr>
        <w:pStyle w:val="Leipteksti"/>
        <w:rPr>
          <w:lang w:eastAsia="en-US"/>
        </w:rPr>
      </w:pPr>
      <w:r>
        <w:rPr>
          <w:lang w:eastAsia="en-US"/>
        </w:rPr>
        <w:t xml:space="preserve">Investointiosasta on ilmettävä hyvinvointialueen investointien lisäksi hyvinvointialuekonsernin toiminnallisesti ja taloudellisesti merkittävimmät investoinnit. Investointisuunnitelmaan sisällytetään tytäryhteisöjen (yli 50 % omistusosuus) suunnittelemat investoinnit, siten että suunnitelmasta ilmenee investointia rahoittavien tahojen osuudet. Koko hyvinvointialuekonsernin investointien esittäminen investointiosassa palvelee sekä hyvinvointialueen konserni- ja omistajaohjausta, että hyvinvointialueiden investointien valtakunnallista ohjausta. Lainanottovaltuusrajoitus koskee tosin vain hyvinvointialuetta, samoin kielto tehdä hyväksytyn investointisuunnitelman vastaisia investointeja. Hyvinvointialuekonsernin investoinnit vaikuttavat tavallisesti myös hyvinvointialueen kuluihin ja siten lainanottovaltuuden laskennan pohjana olevaan vuosikatteeseen. Konserniyhteisöjen investointien vaikutus hyvinvointialueen </w:t>
      </w:r>
      <w:r>
        <w:rPr>
          <w:lang w:eastAsia="en-US"/>
        </w:rPr>
        <w:lastRenderedPageBreak/>
        <w:t>vuosikatteeseen on esitettävä investointisuunnitelmassa. Yhtiöiden kautta toteutettujen hankkeiden osalta esitetään investoinnin koko suuruus sekä muiden osallisten tahojen osuudet.</w:t>
      </w:r>
    </w:p>
    <w:p w14:paraId="087F5F92" w14:textId="1A691CFA" w:rsidR="004A6755" w:rsidRDefault="004A6755" w:rsidP="004A6755">
      <w:pPr>
        <w:pStyle w:val="Leipteksti"/>
        <w:rPr>
          <w:lang w:eastAsia="en-US"/>
        </w:rPr>
      </w:pPr>
      <w:r>
        <w:rPr>
          <w:lang w:eastAsia="en-US"/>
        </w:rPr>
        <w:t>Investointisuunnitelma eritellään hankkeittain samalla tarkkuudella kuin se esitetään hyvinvointialueen valtuustolle. Investointisuunnitelmassa tulee käydä ilmi hankkeen sisältö, syy hankkeen toteuttamiselle</w:t>
      </w:r>
      <w:r w:rsidR="00364B04">
        <w:rPr>
          <w:lang w:eastAsia="en-US"/>
        </w:rPr>
        <w:t xml:space="preserve"> sekä</w:t>
      </w:r>
      <w:r>
        <w:rPr>
          <w:lang w:eastAsia="en-US"/>
        </w:rPr>
        <w:t xml:space="preserve"> hankkeen vaikutukset </w:t>
      </w:r>
      <w:r w:rsidR="00364B04" w:rsidRPr="00364B04">
        <w:rPr>
          <w:lang w:eastAsia="en-US"/>
        </w:rPr>
        <w:t>palveluiden yhdenvertaiseen saatavuuteen, laatuun ja kustannusvaikuttavuuteen</w:t>
      </w:r>
      <w:r w:rsidR="00364B04">
        <w:rPr>
          <w:lang w:eastAsia="en-US"/>
        </w:rPr>
        <w:t xml:space="preserve">. </w:t>
      </w:r>
      <w:r>
        <w:rPr>
          <w:lang w:eastAsia="en-US"/>
        </w:rPr>
        <w:t>Investointeihin saatavat tuet (mukaan lukien EU-tuet) huomioidaan investointimenoja vähentävänä tekijänä. Mikäli investointitukea on saatavilla, tulisi sen hakemisen olla ensisijaista. Valtion ICT-muutosrahoituksella rahoitetut hankkeet käsitellään investointisuunnitelmassa vastaavalla tavalla kuin muut</w:t>
      </w:r>
      <w:r w:rsidR="00B9409F">
        <w:rPr>
          <w:lang w:eastAsia="en-US"/>
        </w:rPr>
        <w:t>kin tukea saaneet investoinnit.</w:t>
      </w:r>
    </w:p>
    <w:p w14:paraId="07F1E1F5" w14:textId="44FFA7C5" w:rsidR="003B3EF9" w:rsidRDefault="009F517E" w:rsidP="004A6755">
      <w:pPr>
        <w:pStyle w:val="Leipteksti"/>
        <w:rPr>
          <w:lang w:eastAsia="en-US"/>
        </w:rPr>
      </w:pPr>
      <w:r>
        <w:rPr>
          <w:lang w:eastAsia="en-US"/>
        </w:rPr>
        <w:t xml:space="preserve">Hyvinvointialueen investointisuunnitelman pelastustoimea koskevassa osasuunnitelmassa tulee lisäksi eritellä merellinen öljyntorjuntakalusto. Rajavartiolaitos sovittaa yhteen hyvinvointialueiden </w:t>
      </w:r>
      <w:proofErr w:type="spellStart"/>
      <w:r>
        <w:rPr>
          <w:lang w:eastAsia="en-US"/>
        </w:rPr>
        <w:t>alusöljy</w:t>
      </w:r>
      <w:proofErr w:type="spellEnd"/>
      <w:r>
        <w:rPr>
          <w:lang w:eastAsia="en-US"/>
        </w:rPr>
        <w:t xml:space="preserve">- ja kemikaalivahinkojen torjuntaan kohdistuvia kalustohankintoja, ja muuta varautumista niin, että se hyvinvointialueen omien tehtävien edellyttämän tarpeen lisäksi palvelee mahdollisimman tehokkaasti merialueen ympäristövahinkojen torjunnan kokonaisuutta. Sisäministeriön pelastusosasto pyytää Rajavartiolaitokselta lausuntoa hyvinvointialueiden merellisistä kalustoinvestoinneista. </w:t>
      </w:r>
    </w:p>
    <w:p w14:paraId="44EAFD9C" w14:textId="612FAFB9" w:rsidR="004B7E87" w:rsidRDefault="004B7E87" w:rsidP="004A6755">
      <w:pPr>
        <w:pStyle w:val="Leipteksti"/>
        <w:rPr>
          <w:lang w:eastAsia="en-US"/>
        </w:rPr>
      </w:pPr>
    </w:p>
    <w:p w14:paraId="1B6C5514" w14:textId="77777777" w:rsidR="004A6755" w:rsidRDefault="004A6755" w:rsidP="004A6755">
      <w:pPr>
        <w:pStyle w:val="Leipteksti"/>
        <w:rPr>
          <w:lang w:eastAsia="en-US"/>
        </w:rPr>
      </w:pPr>
      <w:r>
        <w:rPr>
          <w:lang w:eastAsia="en-US"/>
        </w:rPr>
        <w:t>Esimerkki vuoden 2024 investointisuunnitelman tiivistelmästä (</w:t>
      </w:r>
      <w:proofErr w:type="spellStart"/>
      <w:r>
        <w:rPr>
          <w:lang w:eastAsia="en-US"/>
        </w:rPr>
        <w:t>sote</w:t>
      </w:r>
      <w:proofErr w:type="spellEnd"/>
      <w:r>
        <w:rPr>
          <w:lang w:eastAsia="en-US"/>
        </w:rPr>
        <w:t xml:space="preserve"> ja pelastustoimi erikseen)</w:t>
      </w:r>
    </w:p>
    <w:p w14:paraId="4F56C036"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r w:rsidRPr="004A6755">
        <w:rPr>
          <w:rFonts w:ascii="Arial" w:eastAsia="Arial" w:hAnsi="Arial" w:cs="Arial"/>
          <w:color w:val="000000"/>
          <w:sz w:val="21"/>
          <w:szCs w:val="22"/>
          <w:lang w:val="fi-FI"/>
        </w:rPr>
        <w:tab/>
      </w:r>
      <w:r w:rsidRPr="004A6755">
        <w:rPr>
          <w:rFonts w:ascii="Arial" w:eastAsia="Arial" w:hAnsi="Arial" w:cs="Arial"/>
          <w:color w:val="000000"/>
          <w:sz w:val="21"/>
          <w:szCs w:val="22"/>
          <w:lang w:val="fi-FI"/>
        </w:rPr>
        <w:tab/>
      </w:r>
      <w:r w:rsidRPr="004A6755">
        <w:rPr>
          <w:rFonts w:ascii="Arial" w:eastAsia="Arial" w:hAnsi="Arial" w:cs="Arial"/>
          <w:color w:val="000000"/>
          <w:sz w:val="21"/>
          <w:szCs w:val="22"/>
          <w:lang w:val="fi-FI"/>
        </w:rPr>
        <w:tab/>
      </w:r>
      <w:r w:rsidRPr="004A6755">
        <w:rPr>
          <w:rFonts w:ascii="Arial" w:eastAsia="Arial" w:hAnsi="Arial" w:cs="Arial"/>
          <w:color w:val="000000"/>
          <w:sz w:val="21"/>
          <w:szCs w:val="22"/>
          <w:lang w:val="fi-FI"/>
        </w:rPr>
        <w:tab/>
      </w:r>
      <w:r w:rsidRPr="004A6755">
        <w:rPr>
          <w:rFonts w:ascii="Arial" w:eastAsia="Arial" w:hAnsi="Arial" w:cs="Arial"/>
          <w:color w:val="000000"/>
          <w:sz w:val="21"/>
          <w:szCs w:val="22"/>
          <w:lang w:val="fi-FI"/>
        </w:rPr>
        <w:tab/>
      </w:r>
      <w:r w:rsidRPr="004A6755">
        <w:rPr>
          <w:rFonts w:ascii="Arial" w:eastAsia="Arial" w:hAnsi="Arial" w:cs="Arial"/>
          <w:color w:val="000000"/>
          <w:sz w:val="21"/>
          <w:szCs w:val="21"/>
          <w:lang w:val="fi-FI"/>
        </w:rPr>
        <w:t>2024</w:t>
      </w:r>
      <w:r w:rsidRPr="004A6755">
        <w:rPr>
          <w:rFonts w:ascii="Arial" w:eastAsia="Arial" w:hAnsi="Arial" w:cs="Arial"/>
          <w:color w:val="000000"/>
          <w:sz w:val="21"/>
          <w:szCs w:val="22"/>
          <w:lang w:val="fi-FI"/>
        </w:rPr>
        <w:tab/>
      </w:r>
      <w:r w:rsidRPr="004A6755">
        <w:rPr>
          <w:rFonts w:ascii="Arial" w:eastAsia="Arial" w:hAnsi="Arial" w:cs="Arial"/>
          <w:color w:val="000000"/>
          <w:sz w:val="21"/>
          <w:szCs w:val="21"/>
          <w:lang w:val="fi-FI"/>
        </w:rPr>
        <w:t>2025</w:t>
      </w:r>
      <w:r w:rsidRPr="004A6755">
        <w:rPr>
          <w:rFonts w:ascii="Arial" w:eastAsia="Arial" w:hAnsi="Arial" w:cs="Arial"/>
          <w:color w:val="000000"/>
          <w:sz w:val="21"/>
          <w:szCs w:val="22"/>
          <w:lang w:val="fi-FI"/>
        </w:rPr>
        <w:tab/>
      </w:r>
      <w:r w:rsidRPr="004A6755">
        <w:rPr>
          <w:rFonts w:ascii="Arial" w:eastAsia="Arial" w:hAnsi="Arial" w:cs="Arial"/>
          <w:color w:val="000000"/>
          <w:sz w:val="21"/>
          <w:szCs w:val="21"/>
          <w:lang w:val="fi-FI"/>
        </w:rPr>
        <w:t>2026</w:t>
      </w:r>
      <w:r w:rsidRPr="004A6755">
        <w:rPr>
          <w:rFonts w:ascii="Arial" w:eastAsia="Arial" w:hAnsi="Arial" w:cs="Arial"/>
          <w:color w:val="000000"/>
          <w:sz w:val="21"/>
          <w:szCs w:val="22"/>
          <w:lang w:val="fi-FI"/>
        </w:rPr>
        <w:tab/>
      </w:r>
      <w:r w:rsidRPr="004A6755">
        <w:rPr>
          <w:rFonts w:ascii="Arial" w:eastAsia="Arial" w:hAnsi="Arial" w:cs="Arial"/>
          <w:color w:val="000000"/>
          <w:sz w:val="21"/>
          <w:szCs w:val="21"/>
          <w:lang w:val="fi-FI"/>
        </w:rPr>
        <w:t>2027</w:t>
      </w:r>
      <w:r w:rsidRPr="004A6755">
        <w:rPr>
          <w:rFonts w:ascii="Arial" w:eastAsia="Arial" w:hAnsi="Arial" w:cs="Arial"/>
          <w:color w:val="000000"/>
          <w:sz w:val="21"/>
          <w:szCs w:val="22"/>
          <w:lang w:val="fi-FI"/>
        </w:rPr>
        <w:tab/>
      </w:r>
      <w:r w:rsidRPr="004A6755">
        <w:rPr>
          <w:rFonts w:ascii="Arial" w:eastAsia="Arial" w:hAnsi="Arial" w:cs="Arial"/>
          <w:color w:val="000000"/>
          <w:sz w:val="21"/>
          <w:szCs w:val="21"/>
          <w:lang w:val="fi-FI"/>
        </w:rPr>
        <w:t>2028-&gt;</w:t>
      </w:r>
      <w:r w:rsidRPr="004A6755">
        <w:rPr>
          <w:rFonts w:ascii="Arial" w:eastAsia="Arial" w:hAnsi="Arial" w:cs="Arial"/>
          <w:color w:val="000000"/>
          <w:sz w:val="21"/>
          <w:szCs w:val="22"/>
          <w:lang w:val="fi-FI"/>
        </w:rPr>
        <w:tab/>
      </w:r>
      <w:r w:rsidRPr="004A6755">
        <w:rPr>
          <w:rFonts w:ascii="Arial" w:eastAsia="Arial" w:hAnsi="Arial" w:cs="Arial"/>
          <w:color w:val="000000"/>
          <w:sz w:val="21"/>
          <w:szCs w:val="21"/>
          <w:lang w:val="fi-FI"/>
        </w:rPr>
        <w:t>Yht.</w:t>
      </w:r>
    </w:p>
    <w:p w14:paraId="4B94D5A5"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2"/>
          <w:lang w:val="fi-FI"/>
        </w:rPr>
      </w:pPr>
    </w:p>
    <w:p w14:paraId="5EFC4E79"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r w:rsidRPr="004A6755">
        <w:rPr>
          <w:rFonts w:ascii="Arial" w:eastAsia="Arial" w:hAnsi="Arial" w:cs="Arial"/>
          <w:color w:val="000000"/>
          <w:sz w:val="21"/>
          <w:szCs w:val="21"/>
          <w:lang w:val="fi-FI"/>
        </w:rPr>
        <w:t>Pysyvät vastaavat</w:t>
      </w:r>
    </w:p>
    <w:p w14:paraId="7696F9D6"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r w:rsidRPr="004A6755">
        <w:rPr>
          <w:rFonts w:ascii="Arial" w:eastAsia="Arial" w:hAnsi="Arial" w:cs="Arial"/>
          <w:color w:val="000000"/>
          <w:sz w:val="21"/>
          <w:szCs w:val="21"/>
          <w:lang w:val="fi-FI"/>
        </w:rPr>
        <w:t>Rakennukset</w:t>
      </w:r>
    </w:p>
    <w:p w14:paraId="5F26A3C5"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r w:rsidRPr="004A6755">
        <w:rPr>
          <w:rFonts w:ascii="Arial" w:eastAsia="Arial" w:hAnsi="Arial" w:cs="Arial"/>
          <w:color w:val="000000"/>
          <w:sz w:val="21"/>
          <w:szCs w:val="21"/>
          <w:lang w:val="fi-FI"/>
        </w:rPr>
        <w:t>Laite- ja kalustohankinnat</w:t>
      </w:r>
    </w:p>
    <w:p w14:paraId="42C426AF"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r w:rsidRPr="004A6755">
        <w:rPr>
          <w:rFonts w:ascii="Arial" w:eastAsia="Arial" w:hAnsi="Arial" w:cs="Arial"/>
          <w:color w:val="000000"/>
          <w:sz w:val="21"/>
          <w:szCs w:val="21"/>
          <w:lang w:val="fi-FI"/>
        </w:rPr>
        <w:t>ICT ja muut aineettomat hyödykkeet</w:t>
      </w:r>
    </w:p>
    <w:p w14:paraId="5CF27567"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r w:rsidRPr="004A6755">
        <w:rPr>
          <w:rFonts w:ascii="Arial" w:eastAsia="Arial" w:hAnsi="Arial" w:cs="Arial"/>
          <w:color w:val="000000"/>
          <w:sz w:val="21"/>
          <w:szCs w:val="21"/>
          <w:lang w:val="fi-FI"/>
        </w:rPr>
        <w:t>Muut investoinnit</w:t>
      </w:r>
    </w:p>
    <w:p w14:paraId="3DEEC669"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2"/>
          <w:lang w:val="fi-FI"/>
        </w:rPr>
      </w:pPr>
    </w:p>
    <w:p w14:paraId="723807C3"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r w:rsidRPr="004A6755">
        <w:rPr>
          <w:rFonts w:ascii="Arial" w:eastAsia="Arial" w:hAnsi="Arial" w:cs="Arial"/>
          <w:color w:val="000000"/>
          <w:sz w:val="21"/>
          <w:szCs w:val="21"/>
          <w:lang w:val="fi-FI"/>
        </w:rPr>
        <w:t>Investointeja vastaavat sopimukset</w:t>
      </w:r>
    </w:p>
    <w:p w14:paraId="3AB24604"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r w:rsidRPr="004A6755">
        <w:rPr>
          <w:rFonts w:ascii="Arial" w:eastAsia="Arial" w:hAnsi="Arial" w:cs="Arial"/>
          <w:color w:val="000000"/>
          <w:sz w:val="21"/>
          <w:szCs w:val="21"/>
          <w:lang w:val="fi-FI"/>
        </w:rPr>
        <w:t>Rakennukset</w:t>
      </w:r>
    </w:p>
    <w:p w14:paraId="3A347DEA"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r w:rsidRPr="004A6755">
        <w:rPr>
          <w:rFonts w:ascii="Arial" w:eastAsia="Arial" w:hAnsi="Arial" w:cs="Arial"/>
          <w:color w:val="000000"/>
          <w:sz w:val="21"/>
          <w:szCs w:val="21"/>
          <w:lang w:val="fi-FI"/>
        </w:rPr>
        <w:t>Laite- ja kalustohankinnat</w:t>
      </w:r>
    </w:p>
    <w:p w14:paraId="39F56548"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r w:rsidRPr="004A6755">
        <w:rPr>
          <w:rFonts w:ascii="Arial" w:eastAsia="Arial" w:hAnsi="Arial" w:cs="Arial"/>
          <w:color w:val="000000"/>
          <w:sz w:val="21"/>
          <w:szCs w:val="21"/>
          <w:lang w:val="fi-FI"/>
        </w:rPr>
        <w:t>ICT ja muut aineettomat hyödykkeet</w:t>
      </w:r>
    </w:p>
    <w:p w14:paraId="3EC3B473"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r w:rsidRPr="004A6755">
        <w:rPr>
          <w:rFonts w:ascii="Arial" w:eastAsia="Arial" w:hAnsi="Arial" w:cs="Arial"/>
          <w:color w:val="000000"/>
          <w:sz w:val="21"/>
          <w:szCs w:val="21"/>
          <w:lang w:val="fi-FI"/>
        </w:rPr>
        <w:t>Muut investoinnit</w:t>
      </w:r>
    </w:p>
    <w:p w14:paraId="703B93DB" w14:textId="4D895A31"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p>
    <w:p w14:paraId="3656B9AB"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2"/>
          <w:lang w:val="fi-FI"/>
        </w:rPr>
      </w:pPr>
    </w:p>
    <w:p w14:paraId="41204992"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r w:rsidRPr="004A6755">
        <w:rPr>
          <w:rFonts w:ascii="Arial" w:eastAsia="Arial" w:hAnsi="Arial" w:cs="Arial"/>
          <w:color w:val="000000"/>
          <w:sz w:val="21"/>
          <w:szCs w:val="21"/>
          <w:lang w:val="fi-FI"/>
        </w:rPr>
        <w:t>Omaisuuden luovutukset</w:t>
      </w:r>
    </w:p>
    <w:p w14:paraId="4C9EDA09"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r w:rsidRPr="004A6755">
        <w:rPr>
          <w:rFonts w:ascii="Arial" w:eastAsia="Arial" w:hAnsi="Arial" w:cs="Arial"/>
          <w:color w:val="000000"/>
          <w:sz w:val="21"/>
          <w:szCs w:val="21"/>
          <w:lang w:val="fi-FI"/>
        </w:rPr>
        <w:t>Rakennukset</w:t>
      </w:r>
    </w:p>
    <w:p w14:paraId="11F4E3AB"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r w:rsidRPr="004A6755">
        <w:rPr>
          <w:rFonts w:ascii="Arial" w:eastAsia="Arial" w:hAnsi="Arial" w:cs="Arial"/>
          <w:color w:val="000000"/>
          <w:sz w:val="21"/>
          <w:szCs w:val="21"/>
          <w:lang w:val="fi-FI"/>
        </w:rPr>
        <w:t>Laite- ja kalustohankinnat</w:t>
      </w:r>
    </w:p>
    <w:p w14:paraId="4F6C7D36"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r w:rsidRPr="004A6755">
        <w:rPr>
          <w:rFonts w:ascii="Arial" w:eastAsia="Arial" w:hAnsi="Arial" w:cs="Arial"/>
          <w:color w:val="000000"/>
          <w:sz w:val="21"/>
          <w:szCs w:val="21"/>
          <w:lang w:val="fi-FI"/>
        </w:rPr>
        <w:t>ICT ja muut aineettomat hyödykkeet</w:t>
      </w:r>
    </w:p>
    <w:p w14:paraId="057CB56D"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r w:rsidRPr="004A6755">
        <w:rPr>
          <w:rFonts w:ascii="Arial" w:eastAsia="Arial" w:hAnsi="Arial" w:cs="Arial"/>
          <w:color w:val="000000"/>
          <w:sz w:val="21"/>
          <w:szCs w:val="21"/>
          <w:lang w:val="fi-FI"/>
        </w:rPr>
        <w:t>Muut investoinnit</w:t>
      </w:r>
    </w:p>
    <w:p w14:paraId="45FB0818"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2"/>
          <w:lang w:val="fi-FI"/>
        </w:rPr>
      </w:pPr>
    </w:p>
    <w:p w14:paraId="3B7347BD"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1"/>
          <w:szCs w:val="21"/>
          <w:lang w:val="fi-FI"/>
        </w:rPr>
      </w:pPr>
      <w:r w:rsidRPr="004A6755">
        <w:rPr>
          <w:rFonts w:ascii="Arial" w:eastAsia="Arial" w:hAnsi="Arial" w:cs="Arial"/>
          <w:color w:val="000000"/>
          <w:sz w:val="21"/>
          <w:szCs w:val="21"/>
          <w:lang w:val="fi-FI"/>
        </w:rPr>
        <w:t>Investointituet</w:t>
      </w:r>
    </w:p>
    <w:p w14:paraId="32C4DBBB" w14:textId="77777777" w:rsidR="004A6755" w:rsidRDefault="004A6755" w:rsidP="004A6755">
      <w:pPr>
        <w:pStyle w:val="Leipteksti"/>
        <w:rPr>
          <w:lang w:eastAsia="en-US"/>
        </w:rPr>
      </w:pPr>
      <w:r>
        <w:rPr>
          <w:lang w:eastAsia="en-US"/>
        </w:rPr>
        <w:t xml:space="preserve">Ensimmäinen vuosi 2024 on sitova, loput vuodet 2025-2027 ovat ohjeellisia. Suunnitelmassa esitetään lisäksi myös suunnittelukauden ulkopuolelle ajoittuva osuus. Tämä on tarpeen, koska lainanottovaltuuden </w:t>
      </w:r>
      <w:r>
        <w:rPr>
          <w:lang w:eastAsia="en-US"/>
        </w:rPr>
        <w:lastRenderedPageBreak/>
        <w:t xml:space="preserve">tulee kattaa investoinnin koko määrä, jotta vältettäisiin tilanteet, jossa aloitetulle hankkeelle ei myöhemmässä vaiheessa olisi rahoitusta. Investointitukien osalta tulee eritellä niiden kohdentuminen. </w:t>
      </w:r>
    </w:p>
    <w:p w14:paraId="17E87405" w14:textId="77777777" w:rsidR="004A6755" w:rsidRDefault="004A6755" w:rsidP="004A6755">
      <w:pPr>
        <w:pStyle w:val="Leipteksti"/>
        <w:rPr>
          <w:lang w:eastAsia="en-US"/>
        </w:rPr>
      </w:pPr>
      <w:r>
        <w:rPr>
          <w:lang w:eastAsia="en-US"/>
        </w:rPr>
        <w:t xml:space="preserve">Aineettomia hyödykkeitä ovat tyypillisesti esimerkiksi tietojärjestelmähankintoihin liittyvät lisenssit. Muut investoinnit kattavat muut pysyvien vastaavien erät. Osallistuminen muiden hyvinvointialueiden sekä muiden yhteisöjen investointeihin esitetään muissa investoinneissa. </w:t>
      </w:r>
    </w:p>
    <w:p w14:paraId="4CD2AD0C" w14:textId="77777777" w:rsidR="004A6755" w:rsidRDefault="004A6755" w:rsidP="004A6755">
      <w:pPr>
        <w:pStyle w:val="Leipteksti"/>
        <w:rPr>
          <w:lang w:eastAsia="en-US"/>
        </w:rPr>
      </w:pPr>
      <w:r>
        <w:rPr>
          <w:lang w:eastAsia="en-US"/>
        </w:rPr>
        <w:t>Esimerkki, investointien rahoitus (hyvinvointialue yhteensä)</w:t>
      </w:r>
    </w:p>
    <w:p w14:paraId="731A21F8"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0"/>
          <w:szCs w:val="20"/>
          <w:lang w:val="fi-FI"/>
        </w:rPr>
      </w:pPr>
      <w:r w:rsidRPr="004A6755">
        <w:rPr>
          <w:rFonts w:ascii="Arial" w:eastAsia="Arial" w:hAnsi="Arial" w:cs="Arial"/>
          <w:color w:val="000000"/>
          <w:sz w:val="20"/>
          <w:szCs w:val="20"/>
          <w:lang w:val="fi-FI"/>
        </w:rPr>
        <w:tab/>
      </w:r>
      <w:r w:rsidRPr="004A6755">
        <w:rPr>
          <w:rFonts w:ascii="Arial" w:eastAsia="Arial" w:hAnsi="Arial" w:cs="Arial"/>
          <w:color w:val="000000"/>
          <w:sz w:val="20"/>
          <w:szCs w:val="20"/>
          <w:lang w:val="fi-FI"/>
        </w:rPr>
        <w:tab/>
      </w:r>
      <w:r w:rsidRPr="004A6755">
        <w:rPr>
          <w:rFonts w:ascii="Arial" w:eastAsia="Arial" w:hAnsi="Arial" w:cs="Arial"/>
          <w:color w:val="000000"/>
          <w:sz w:val="20"/>
          <w:szCs w:val="20"/>
          <w:lang w:val="fi-FI"/>
        </w:rPr>
        <w:tab/>
      </w:r>
      <w:r w:rsidRPr="004A6755">
        <w:rPr>
          <w:rFonts w:ascii="Arial" w:eastAsia="Arial" w:hAnsi="Arial" w:cs="Arial"/>
          <w:color w:val="000000"/>
          <w:sz w:val="20"/>
          <w:szCs w:val="20"/>
          <w:lang w:val="fi-FI"/>
        </w:rPr>
        <w:tab/>
      </w:r>
      <w:r w:rsidRPr="004A6755">
        <w:rPr>
          <w:rFonts w:ascii="Arial" w:eastAsia="Arial" w:hAnsi="Arial" w:cs="Arial"/>
          <w:color w:val="000000"/>
          <w:sz w:val="20"/>
          <w:szCs w:val="20"/>
          <w:lang w:val="fi-FI"/>
        </w:rPr>
        <w:tab/>
      </w:r>
      <w:r w:rsidRPr="004A6755">
        <w:rPr>
          <w:rFonts w:ascii="Arial" w:eastAsia="Arial" w:hAnsi="Arial" w:cs="Arial"/>
          <w:color w:val="000000"/>
          <w:sz w:val="20"/>
          <w:szCs w:val="20"/>
          <w:lang w:val="fi-FI"/>
        </w:rPr>
        <w:tab/>
        <w:t>2024</w:t>
      </w:r>
      <w:r w:rsidRPr="004A6755">
        <w:rPr>
          <w:rFonts w:ascii="Arial" w:eastAsia="Arial" w:hAnsi="Arial" w:cs="Arial"/>
          <w:color w:val="000000"/>
          <w:sz w:val="20"/>
          <w:szCs w:val="20"/>
          <w:lang w:val="fi-FI"/>
        </w:rPr>
        <w:tab/>
        <w:t>2025</w:t>
      </w:r>
      <w:r w:rsidRPr="004A6755">
        <w:rPr>
          <w:rFonts w:ascii="Arial" w:eastAsia="Arial" w:hAnsi="Arial" w:cs="Arial"/>
          <w:color w:val="000000"/>
          <w:sz w:val="20"/>
          <w:szCs w:val="20"/>
          <w:lang w:val="fi-FI"/>
        </w:rPr>
        <w:tab/>
        <w:t>2026</w:t>
      </w:r>
      <w:r w:rsidRPr="004A6755">
        <w:rPr>
          <w:rFonts w:ascii="Arial" w:eastAsia="Arial" w:hAnsi="Arial" w:cs="Arial"/>
          <w:color w:val="000000"/>
          <w:sz w:val="20"/>
          <w:szCs w:val="20"/>
          <w:lang w:val="fi-FI"/>
        </w:rPr>
        <w:tab/>
        <w:t>2027</w:t>
      </w:r>
      <w:r w:rsidRPr="004A6755">
        <w:rPr>
          <w:rFonts w:ascii="Arial" w:eastAsia="Arial" w:hAnsi="Arial" w:cs="Arial"/>
          <w:color w:val="000000"/>
          <w:sz w:val="20"/>
          <w:szCs w:val="20"/>
          <w:lang w:val="fi-FI"/>
        </w:rPr>
        <w:tab/>
        <w:t>2028-&gt;</w:t>
      </w:r>
      <w:r w:rsidRPr="004A6755">
        <w:rPr>
          <w:rFonts w:ascii="Arial" w:eastAsia="Arial" w:hAnsi="Arial" w:cs="Arial"/>
          <w:color w:val="000000"/>
          <w:sz w:val="20"/>
          <w:szCs w:val="20"/>
          <w:lang w:val="fi-FI"/>
        </w:rPr>
        <w:tab/>
        <w:t>Yht.</w:t>
      </w:r>
    </w:p>
    <w:p w14:paraId="77F1CDB8"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0"/>
          <w:szCs w:val="20"/>
          <w:lang w:val="fi-FI"/>
        </w:rPr>
      </w:pPr>
      <w:r w:rsidRPr="004A6755">
        <w:rPr>
          <w:rFonts w:ascii="Arial" w:eastAsia="Arial" w:hAnsi="Arial" w:cs="Arial"/>
          <w:color w:val="000000"/>
          <w:sz w:val="20"/>
          <w:szCs w:val="20"/>
          <w:lang w:val="fi-FI"/>
        </w:rPr>
        <w:t xml:space="preserve">Toiminnan rahavirta </w:t>
      </w:r>
    </w:p>
    <w:p w14:paraId="3B648D9A"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0"/>
          <w:szCs w:val="20"/>
          <w:lang w:val="fi-FI"/>
        </w:rPr>
      </w:pPr>
      <w:r w:rsidRPr="004A6755">
        <w:rPr>
          <w:rFonts w:ascii="Arial" w:eastAsia="Arial" w:hAnsi="Arial" w:cs="Arial"/>
          <w:color w:val="000000"/>
          <w:sz w:val="20"/>
          <w:szCs w:val="20"/>
          <w:lang w:val="fi-FI"/>
        </w:rPr>
        <w:t>(= vuosikate + tulorahoituksen korjauserät + satunnaiset erät)</w:t>
      </w:r>
    </w:p>
    <w:p w14:paraId="0284B855"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0"/>
          <w:szCs w:val="20"/>
          <w:lang w:val="fi-FI"/>
        </w:rPr>
      </w:pPr>
      <w:r w:rsidRPr="004A6755">
        <w:rPr>
          <w:rFonts w:ascii="Arial" w:eastAsia="Arial" w:hAnsi="Arial" w:cs="Arial"/>
          <w:color w:val="000000"/>
          <w:sz w:val="20"/>
          <w:szCs w:val="20"/>
          <w:lang w:val="fi-FI"/>
        </w:rPr>
        <w:t>Investointien rahavirta</w:t>
      </w:r>
    </w:p>
    <w:p w14:paraId="0AE2EC47"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0"/>
          <w:szCs w:val="20"/>
          <w:lang w:val="fi-FI"/>
        </w:rPr>
      </w:pPr>
      <w:r w:rsidRPr="004A6755">
        <w:rPr>
          <w:rFonts w:ascii="Arial" w:eastAsia="Arial" w:hAnsi="Arial" w:cs="Arial"/>
          <w:color w:val="000000"/>
          <w:sz w:val="20"/>
          <w:szCs w:val="20"/>
          <w:lang w:val="fi-FI"/>
        </w:rPr>
        <w:t xml:space="preserve">   Investointimenot</w:t>
      </w:r>
    </w:p>
    <w:p w14:paraId="66EF729C"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0"/>
          <w:szCs w:val="20"/>
          <w:lang w:val="fi-FI"/>
        </w:rPr>
      </w:pPr>
      <w:r w:rsidRPr="004A6755">
        <w:rPr>
          <w:rFonts w:ascii="Arial" w:eastAsia="Arial" w:hAnsi="Arial" w:cs="Arial"/>
          <w:color w:val="000000"/>
          <w:sz w:val="20"/>
          <w:szCs w:val="20"/>
          <w:lang w:val="fi-FI"/>
        </w:rPr>
        <w:t xml:space="preserve">   Rahoitusosuudet investointimenoihin</w:t>
      </w:r>
    </w:p>
    <w:p w14:paraId="5924A5A9"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0"/>
          <w:szCs w:val="20"/>
          <w:lang w:val="fi-FI"/>
        </w:rPr>
      </w:pPr>
      <w:r w:rsidRPr="004A6755">
        <w:rPr>
          <w:rFonts w:ascii="Arial" w:eastAsia="Arial" w:hAnsi="Arial" w:cs="Arial"/>
          <w:color w:val="000000"/>
          <w:sz w:val="20"/>
          <w:szCs w:val="20"/>
          <w:lang w:val="fi-FI"/>
        </w:rPr>
        <w:t xml:space="preserve">   Pysyvien vastaavien hyödykkeiden luovutustulot</w:t>
      </w:r>
      <w:r w:rsidRPr="004A6755">
        <w:rPr>
          <w:rFonts w:ascii="Arial" w:eastAsia="Arial" w:hAnsi="Arial" w:cs="Arial"/>
          <w:color w:val="000000"/>
          <w:sz w:val="20"/>
          <w:szCs w:val="20"/>
          <w:lang w:val="fi-FI"/>
        </w:rPr>
        <w:tab/>
      </w:r>
    </w:p>
    <w:p w14:paraId="4CAE9682"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0"/>
          <w:szCs w:val="20"/>
          <w:lang w:val="fi-FI"/>
        </w:rPr>
      </w:pPr>
      <w:r w:rsidRPr="004A6755">
        <w:rPr>
          <w:rFonts w:ascii="Arial" w:eastAsia="Arial" w:hAnsi="Arial" w:cs="Arial"/>
          <w:color w:val="000000"/>
          <w:sz w:val="20"/>
          <w:szCs w:val="20"/>
          <w:lang w:val="fi-FI"/>
        </w:rPr>
        <w:t>Lainakannan muutos</w:t>
      </w:r>
    </w:p>
    <w:p w14:paraId="014D7586"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0"/>
          <w:szCs w:val="20"/>
          <w:lang w:val="fi-FI"/>
        </w:rPr>
      </w:pPr>
      <w:r w:rsidRPr="004A6755">
        <w:rPr>
          <w:rFonts w:ascii="Arial" w:eastAsia="Arial" w:hAnsi="Arial" w:cs="Arial"/>
          <w:color w:val="000000"/>
          <w:sz w:val="20"/>
          <w:szCs w:val="20"/>
          <w:lang w:val="fi-FI"/>
        </w:rPr>
        <w:t>Rahavarojen muutos</w:t>
      </w:r>
    </w:p>
    <w:p w14:paraId="049F31CB" w14:textId="77777777" w:rsidR="004A6755" w:rsidRPr="004A6755" w:rsidRDefault="004A6755" w:rsidP="004A6755">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20"/>
        <w:jc w:val="both"/>
        <w:rPr>
          <w:rFonts w:ascii="Arial" w:eastAsia="Arial" w:hAnsi="Arial" w:cs="Arial"/>
          <w:color w:val="000000"/>
          <w:sz w:val="20"/>
          <w:szCs w:val="20"/>
          <w:lang w:val="fi-FI"/>
        </w:rPr>
      </w:pPr>
    </w:p>
    <w:p w14:paraId="3B0CC5BD" w14:textId="438287D2" w:rsidR="004A6755" w:rsidRDefault="004A6755" w:rsidP="004A6755">
      <w:pPr>
        <w:pStyle w:val="Leipteksti"/>
      </w:pPr>
      <w:r w:rsidRPr="004A6755">
        <w:t xml:space="preserve">Investointien esittämisen tueksi on laadittu </w:t>
      </w:r>
      <w:hyperlink r:id="rId11" w:history="1">
        <w:r w:rsidRPr="00377C7B">
          <w:rPr>
            <w:rStyle w:val="Hyperlinkki"/>
            <w:b/>
            <w:color w:val="FF0000"/>
          </w:rPr>
          <w:t>lomake</w:t>
        </w:r>
      </w:hyperlink>
      <w:bookmarkStart w:id="11" w:name="_GoBack"/>
      <w:bookmarkEnd w:id="11"/>
      <w:r w:rsidRPr="00377C7B">
        <w:rPr>
          <w:color w:val="FF0000"/>
        </w:rPr>
        <w:t>,</w:t>
      </w:r>
      <w:r w:rsidRPr="004A6755">
        <w:t xml:space="preserve">  jotta tiedot olisivat mahdollisimman vakiomuotoisia. </w:t>
      </w:r>
    </w:p>
    <w:p w14:paraId="5E1E182F" w14:textId="483C5FD9" w:rsidR="004A6755" w:rsidRDefault="004A6755" w:rsidP="004A6755">
      <w:pPr>
        <w:pStyle w:val="Otsikko2"/>
      </w:pPr>
      <w:bookmarkStart w:id="12" w:name="_Toc106286993"/>
      <w:bookmarkStart w:id="13" w:name="_Toc137645917"/>
      <w:r w:rsidRPr="004A6755">
        <w:t>3.3 Hyväksymismenettely ja hylkäysperusteet</w:t>
      </w:r>
      <w:bookmarkEnd w:id="12"/>
      <w:bookmarkEnd w:id="13"/>
    </w:p>
    <w:p w14:paraId="68C43D19" w14:textId="77777777" w:rsidR="004A6755" w:rsidRPr="004A6755" w:rsidRDefault="004A6755" w:rsidP="004A6755">
      <w:pPr>
        <w:pStyle w:val="Leipteksti"/>
      </w:pPr>
      <w:proofErr w:type="spellStart"/>
      <w:r w:rsidRPr="004A6755">
        <w:t>Sosiaali</w:t>
      </w:r>
      <w:proofErr w:type="spellEnd"/>
      <w:r w:rsidRPr="004A6755">
        <w:t xml:space="preserve">- ja terveydenhuollon ja pelastustoimen osasuunnitelmat noudattavat sisällöllisesti samaa logiikkaa. </w:t>
      </w:r>
    </w:p>
    <w:p w14:paraId="6E43693B" w14:textId="77777777" w:rsidR="004A6755" w:rsidRPr="004A6755" w:rsidRDefault="004A6755" w:rsidP="004A6755">
      <w:pPr>
        <w:pStyle w:val="Leipteksti"/>
      </w:pPr>
      <w:proofErr w:type="spellStart"/>
      <w:r w:rsidRPr="004A6755">
        <w:t>Sosiaali</w:t>
      </w:r>
      <w:proofErr w:type="spellEnd"/>
      <w:r w:rsidRPr="004A6755">
        <w:t xml:space="preserve">- ja terveydenhuollon osasuunnitelmasta säädetään laissa </w:t>
      </w:r>
      <w:proofErr w:type="spellStart"/>
      <w:r w:rsidRPr="004A6755">
        <w:t>sosiaali</w:t>
      </w:r>
      <w:proofErr w:type="spellEnd"/>
      <w:r w:rsidRPr="004A6755">
        <w:t xml:space="preserve">- ja terveyspalvelujen järjestämisestä (25 §). Sote-osasuunnitelman tulee perustua </w:t>
      </w:r>
      <w:proofErr w:type="spellStart"/>
      <w:r w:rsidRPr="004A6755">
        <w:t>sosiaali</w:t>
      </w:r>
      <w:proofErr w:type="spellEnd"/>
      <w:r w:rsidRPr="004A6755">
        <w:t xml:space="preserve">- ja terveydenhuollon valtakunnallisiin tavoitteisiin sekä väestön palvelutarpeeseen. Hyvinvointialueen on valittava siihen </w:t>
      </w:r>
      <w:proofErr w:type="spellStart"/>
      <w:r w:rsidRPr="004A6755">
        <w:t>sosiaali</w:t>
      </w:r>
      <w:proofErr w:type="spellEnd"/>
      <w:r w:rsidRPr="004A6755">
        <w:t xml:space="preserve">- ja terveydenhuollon järjestämisen kannalta tärkeimmät investoinnit ja investointia vastaavat sopimukset. Siinä on arvioitava sen sisältämien toimien vaikutuksia </w:t>
      </w:r>
      <w:proofErr w:type="spellStart"/>
      <w:r w:rsidRPr="004A6755">
        <w:t>sosiaali</w:t>
      </w:r>
      <w:proofErr w:type="spellEnd"/>
      <w:r w:rsidRPr="004A6755">
        <w:t xml:space="preserve">- ja terveydenhuollon palvelujen yhdenvertaisuuteen, laatuun ja kustannusvaikuttavuuteen hyvinvointialueella. Suunnitelmassa on otettava huomioon yhteistyöalueen yhteistyösopimus. </w:t>
      </w:r>
    </w:p>
    <w:p w14:paraId="4878B32A" w14:textId="42FD249C" w:rsidR="004A6755" w:rsidRPr="004A6755" w:rsidRDefault="004A6755" w:rsidP="004A6755">
      <w:pPr>
        <w:pStyle w:val="Leipteksti"/>
      </w:pPr>
      <w:r w:rsidRPr="004A6755">
        <w:t xml:space="preserve">Pelastustoimen osasuunnitelmasta säädetään laissa pelastustoimen järjestämisestä (11 §). Pelastustoimen </w:t>
      </w:r>
      <w:r w:rsidR="00CD3487">
        <w:t xml:space="preserve">osasuunnitelman </w:t>
      </w:r>
      <w:r w:rsidRPr="004A6755">
        <w:t>tulee perustua pelastustoimen valtakunnallisiin strategisiin tavoitteisiin sekä kansallisiin, alueellisiin ja paikallisiin tarpeisiin sekä onnettomuusuhkiin ja muihin uhkiin. Hyvinvointialueen on valittava pelastustoimen osasuunnitelmaan hyvinvointialueen pelastustoimen järjestämisen kannalta tärkeimmät investoinnit ja investointia vastaavat sopimukset, ja siinä on arvioitava sen sisältämien toimien vaikutuksia hyvinvointialueen pelastustoimen palvelujen yhdenvertaiseen saatavuuteen, laatuun ja kustannusvaikuttavuuteen.</w:t>
      </w:r>
    </w:p>
    <w:p w14:paraId="4F69A494" w14:textId="77777777" w:rsidR="004A6755" w:rsidRPr="004A6755" w:rsidRDefault="004A6755" w:rsidP="004A6755">
      <w:pPr>
        <w:pStyle w:val="Leipteksti"/>
      </w:pPr>
      <w:proofErr w:type="spellStart"/>
      <w:r w:rsidRPr="004A6755">
        <w:t>Sosiaali</w:t>
      </w:r>
      <w:proofErr w:type="spellEnd"/>
      <w:r w:rsidRPr="004A6755">
        <w:t xml:space="preserve">- ja terveysministeriö voi jättää </w:t>
      </w:r>
      <w:proofErr w:type="spellStart"/>
      <w:r w:rsidRPr="004A6755">
        <w:t>sosiaali</w:t>
      </w:r>
      <w:proofErr w:type="spellEnd"/>
      <w:r w:rsidRPr="004A6755">
        <w:t xml:space="preserve">- ja terveydenhuollon osasuunnitelman hyväksymättä, </w:t>
      </w:r>
    </w:p>
    <w:p w14:paraId="33F0C811" w14:textId="77777777" w:rsidR="004A6755" w:rsidRPr="004A6755" w:rsidRDefault="004A6755" w:rsidP="004A6755">
      <w:pPr>
        <w:pStyle w:val="Leipteksti"/>
        <w:numPr>
          <w:ilvl w:val="0"/>
          <w:numId w:val="10"/>
        </w:numPr>
      </w:pPr>
      <w:r w:rsidRPr="004A6755">
        <w:lastRenderedPageBreak/>
        <w:t xml:space="preserve">jos siinä ei ole osoitettu rahoitusta kaikille siihen sisältyville investoinneille ja investointia vastaaville sopimuksille; </w:t>
      </w:r>
    </w:p>
    <w:p w14:paraId="084A8353" w14:textId="77777777" w:rsidR="004A6755" w:rsidRPr="004A6755" w:rsidRDefault="004A6755" w:rsidP="004A6755">
      <w:pPr>
        <w:pStyle w:val="Leipteksti"/>
        <w:numPr>
          <w:ilvl w:val="0"/>
          <w:numId w:val="10"/>
        </w:numPr>
      </w:pPr>
      <w:r w:rsidRPr="004A6755">
        <w:t xml:space="preserve">se on ristiriidassa 36 §:ssä tarkoitetun hyvinvointialueiden yhteistyösopimuksen kanssa; </w:t>
      </w:r>
    </w:p>
    <w:p w14:paraId="3EFD278E" w14:textId="77777777" w:rsidR="004A6755" w:rsidRPr="004A6755" w:rsidRDefault="004A6755" w:rsidP="004A6755">
      <w:pPr>
        <w:pStyle w:val="Leipteksti"/>
        <w:numPr>
          <w:ilvl w:val="0"/>
          <w:numId w:val="10"/>
        </w:numPr>
      </w:pPr>
      <w:r w:rsidRPr="004A6755">
        <w:t xml:space="preserve">on ilmeistä, että siihen sisältyvä vaikutuksiltaan laajakantoinen tai taloudellisesti merkittävä investointi tai investointia vastaava sopimus voitaisiin toteuttaa kustannustehokkaammin hyvinvointialueiden välisenä yhteistyönä tai </w:t>
      </w:r>
    </w:p>
    <w:p w14:paraId="71FB8A68" w14:textId="77777777" w:rsidR="00D354E2" w:rsidRDefault="004A6755" w:rsidP="00D354E2">
      <w:pPr>
        <w:pStyle w:val="Leipteksti"/>
        <w:numPr>
          <w:ilvl w:val="0"/>
          <w:numId w:val="10"/>
        </w:numPr>
      </w:pPr>
      <w:r w:rsidRPr="004A6755">
        <w:t xml:space="preserve">on ilmeistä, että siihen sisältyvä vaikutuksiltaan laajakantoinen tai taloudellisesti merkittävä investointi tai investointia vastaava sopimus taikka tällainen luovutus ei edistäisi </w:t>
      </w:r>
      <w:proofErr w:type="spellStart"/>
      <w:r w:rsidRPr="004A6755">
        <w:t>sosiaali</w:t>
      </w:r>
      <w:proofErr w:type="spellEnd"/>
      <w:r w:rsidRPr="004A6755">
        <w:t>- ja terveydenhuollon kustannusvaikuttavaa järjestämistä.</w:t>
      </w:r>
    </w:p>
    <w:p w14:paraId="62486C05" w14:textId="13414086" w:rsidR="004B7E87" w:rsidRPr="00397113" w:rsidRDefault="004B7E87" w:rsidP="00D354E2">
      <w:pPr>
        <w:pStyle w:val="Leipteksti"/>
      </w:pPr>
    </w:p>
    <w:p w14:paraId="2745B3DB" w14:textId="77777777" w:rsidR="004A6755" w:rsidRPr="004A6755" w:rsidRDefault="004A6755" w:rsidP="004A6755">
      <w:pPr>
        <w:pStyle w:val="Leipteksti"/>
      </w:pPr>
      <w:r w:rsidRPr="004A6755">
        <w:t>Sisäministeriö voi jättää pelastustoimen osasuunnitelman hyväksymättä,</w:t>
      </w:r>
    </w:p>
    <w:p w14:paraId="6804B0D1" w14:textId="77777777" w:rsidR="004A6755" w:rsidRPr="004A6755" w:rsidRDefault="004A6755" w:rsidP="004A6755">
      <w:pPr>
        <w:pStyle w:val="Leipteksti"/>
        <w:ind w:left="720"/>
      </w:pPr>
      <w:r w:rsidRPr="004A6755">
        <w:t>1)</w:t>
      </w:r>
      <w:r w:rsidRPr="004A6755">
        <w:rPr>
          <w:lang w:val="en-US"/>
        </w:rPr>
        <w:t> </w:t>
      </w:r>
      <w:r w:rsidRPr="004A6755">
        <w:t>jos siinä ei ole osoitettu rahoitusta kaikille siihen sisältyville investoinneille ja invest</w:t>
      </w:r>
      <w:r>
        <w:t>ointia vastaaville sopimuksille</w:t>
      </w:r>
    </w:p>
    <w:p w14:paraId="775031C3" w14:textId="77777777" w:rsidR="004A6755" w:rsidRPr="004A6755" w:rsidRDefault="004A6755" w:rsidP="004A6755">
      <w:pPr>
        <w:pStyle w:val="Leipteksti"/>
        <w:ind w:left="720"/>
      </w:pPr>
      <w:r w:rsidRPr="004A6755">
        <w:t>2)</w:t>
      </w:r>
      <w:r w:rsidRPr="004A6755">
        <w:rPr>
          <w:lang w:val="en-US"/>
        </w:rPr>
        <w:t> </w:t>
      </w:r>
      <w:r w:rsidRPr="004A6755">
        <w:t>on ilmeistä, että siihen sisältyvä vaikutuksiltaan laajakantoinen tai taloudellisesti merkittävä investointi tai investointia vastaava sopimus voitaisiin toteuttaa kustannustehokkaammin hyvinvointialueiden välisenä yhteistyönä tai</w:t>
      </w:r>
    </w:p>
    <w:p w14:paraId="212519A3" w14:textId="77777777" w:rsidR="004A6755" w:rsidRPr="004A6755" w:rsidRDefault="004A6755" w:rsidP="004A6755">
      <w:pPr>
        <w:pStyle w:val="Leipteksti"/>
        <w:ind w:left="720"/>
      </w:pPr>
      <w:r w:rsidRPr="004A6755">
        <w:t>3)</w:t>
      </w:r>
      <w:r w:rsidRPr="004A6755">
        <w:rPr>
          <w:lang w:val="en-US"/>
        </w:rPr>
        <w:t> </w:t>
      </w:r>
      <w:r w:rsidRPr="004A6755">
        <w:t>on ilmeistä, että siihen sisältyvä vaikutuksiltaan laajakantoinen tai taloudellisesti merkittävä investointi tai investointia vastaava sopimus taikka luovutus ei edistäisi pelastustoimen kustannusvaikuttavaa järjestämistä.</w:t>
      </w:r>
    </w:p>
    <w:p w14:paraId="0C4A9A9A" w14:textId="77777777" w:rsidR="004A6755" w:rsidRPr="004A6755" w:rsidRDefault="004A6755" w:rsidP="004A6755">
      <w:pPr>
        <w:pStyle w:val="Leipteksti"/>
      </w:pPr>
      <w:proofErr w:type="spellStart"/>
      <w:r w:rsidRPr="004A6755">
        <w:t>Sosiaali</w:t>
      </w:r>
      <w:proofErr w:type="spellEnd"/>
      <w:r w:rsidRPr="004A6755">
        <w:t xml:space="preserve">- ja terveysministeriö ja sisäministeriö kumpikin arvioivat osasuunnitelman hyväksymisestä päättäessään edellä mainittujen kriteerien täyttymistä vain osasuunnitelman ensimmäisen tilikauden osalta. </w:t>
      </w:r>
    </w:p>
    <w:p w14:paraId="0A282EA0" w14:textId="77777777" w:rsidR="004A6755" w:rsidRPr="004A6755" w:rsidRDefault="004A6755" w:rsidP="004A6755">
      <w:pPr>
        <w:pStyle w:val="Leipteksti"/>
      </w:pPr>
      <w:proofErr w:type="spellStart"/>
      <w:r w:rsidRPr="004A6755">
        <w:t>Sosiaali</w:t>
      </w:r>
      <w:proofErr w:type="spellEnd"/>
      <w:r w:rsidRPr="004A6755">
        <w:t xml:space="preserve">- ja terveydenhuollon tai pelastustoimen osasuunnitelma voidaan jättää hyväksymättä, mikäli on ilmeistä, että siihen sisältyvä vaikutuksiltaan laajakantoinen tai taloudellisesti merkittävä investointi tai investointia vastaava sopimus voitaisiin toteuttaa kustannustehokkaammin hyvinvointialueiden välisenä yhteistyönä. Kohdan tarkoituksena on varmistaa, etteivät hyvinvointialueet toteuttaisi tarpeettomasti päällekkäisiä ja toistensa kanssa perusteettomasti kilpailevia hankkeita, jotka synnyttäisivät merkittäviä lisäkustannuksia ilman että niillä saavutettaisiin vastaavia hyötyjä. Esimerkiksi kallista öljyntorjuntakalustoa tai muuta erityiskalustoa ei olisi tarkoituksenmukaista hankkia paikkoihin, joissa sen kapasiteetti ei olisi täydessä käytössä, jos hyvinvointialueiden työnjakoa kehittämällä selvittäisiin selvästi laajempaa aluetta palvelevalla kalustolla ilman, että tämä johtaisi riittävien ja yhdenvertaisten palveluiden vaarantumiseen. </w:t>
      </w:r>
    </w:p>
    <w:p w14:paraId="7C171359" w14:textId="77777777" w:rsidR="004A6755" w:rsidRPr="004A6755" w:rsidRDefault="004A6755" w:rsidP="004A6755">
      <w:pPr>
        <w:pStyle w:val="Leipteksti"/>
      </w:pPr>
      <w:r w:rsidRPr="004A6755">
        <w:t xml:space="preserve">Vaikutuksiltaan laajakantoisella investoinnilla ja investointia vastaavalla sopimuksella sekä tällaisella luovutuksella tarkoitetaan sellaista hanketta, jolla olisi pitkäkestoisia ja merkittäviä vaikutuksia palvelujen toteuttamistapaan, saatavuuteen, saavutettavuuteen tai laatuun hyvinvointialueella taikka joka vaikuttaisi </w:t>
      </w:r>
      <w:r w:rsidRPr="004A6755">
        <w:lastRenderedPageBreak/>
        <w:t>merkittävästi hyvinvointialueiden väliseen työnjakoon tai yhteistyöhön. Kyseessä voi siten olla esimerkiksi hanke, jonka vaikutukset palvelutuotantoon ulottuisivat usean hyvinvointialueen alueelle tai hanke, jonka välittömät vaikutukset rajoittuisivat yhteen hyvinvointialueeseen, mutta jolla voisi olla vaikutuksia myös muiden hyvinvointialueiden toimintaan. Jos hanke johtaisi siihen, että palvelujen tuotanto siirtyisi hyvinvointialueen alueella paikkakunnalta toiselle ja sen myötä muiden hyvinvointialueiden asukkaiden mahdollisuudet saada kyseistä palvelua heikkenisivät, voisi kysymyksessä olla laajakantoinen hanke. Toiminnallisessa mielessä laajakantoisuus voisi liittyä esimerkiksi siihen, miten hanke vaikuttaisi tuotantotapaan (avohoito-laitoshoito) tai lähipalvelujen saatavuuteen taikka palvelujen laatuun.</w:t>
      </w:r>
    </w:p>
    <w:p w14:paraId="689F8AA1" w14:textId="77777777" w:rsidR="004A6755" w:rsidRPr="004A6755" w:rsidRDefault="004A6755" w:rsidP="004A6755">
      <w:pPr>
        <w:pStyle w:val="Leipteksti"/>
      </w:pPr>
      <w:r w:rsidRPr="004A6755">
        <w:t xml:space="preserve">Taloudellisesti merkittävällä investoinnilla ja investointia vastaavalla sopimuksella sekä tällaisella luovutuksella tarkoitetaan sellaista hanketta tai sellaisen hankkeen osaa, joka vaikuttaisi hyvinvointialueen talouteen pitkäaikaisesti olennaisella tavalla vaikuttamalla hyvinvointialueen mahdollisuuksiin toteuttaa muita hankkeita tai järjestää väestön tarpeenmukaiset </w:t>
      </w:r>
      <w:proofErr w:type="spellStart"/>
      <w:r w:rsidRPr="004A6755">
        <w:t>sosiaali</w:t>
      </w:r>
      <w:proofErr w:type="spellEnd"/>
      <w:r w:rsidRPr="004A6755">
        <w:t>- ja terveydenhuollon ja pelastustoimen palvelut. Näin olisi esimerkiksi tilanteissa, joissa investointi tai investointia vastaava sopimus olisi kustannuksiltaan suhteeton siitä saatavaan hyötyyn nähden, esimerkiksi sen vähäisen käytön vuoksi. Tällaisesta taloudellisesta merkittävyydestä kertoisi hankkeen absoluuttisen rahamääräisen suuruuden lisäksi myös sen suuri osuus suhteessa toiminnan kokonaiskustannuksiin.</w:t>
      </w:r>
    </w:p>
    <w:p w14:paraId="721BC7F3" w14:textId="77777777" w:rsidR="004A6755" w:rsidRDefault="004A6755" w:rsidP="004A6755">
      <w:pPr>
        <w:pStyle w:val="Leipteksti"/>
      </w:pPr>
      <w:proofErr w:type="spellStart"/>
      <w:r w:rsidRPr="004A6755">
        <w:t>Sosiaali</w:t>
      </w:r>
      <w:proofErr w:type="spellEnd"/>
      <w:r w:rsidRPr="004A6755">
        <w:t xml:space="preserve">- ja terveydenhuollon ja pelastustoimen hyödykkeiden luovutusten osalta voitaisiin puuttua esimerkiksi tilanteisiin, jossa heikossa taloudellisessa tilanteessa oleva hyvinvointialue suunnittelisi palvelujen järjestämisen kannalta keskeisen omaisuuden myymistä toimintamenojensa rahoittamiseksi esimerkiksi välttääkseen hyvinvointialuelain 120 §:ssä tarkoitetun hyvinvointialueen arviointimenettelyn. </w:t>
      </w:r>
    </w:p>
    <w:p w14:paraId="329B9C62" w14:textId="77777777" w:rsidR="004A6755" w:rsidRPr="004A6755" w:rsidRDefault="004A6755" w:rsidP="004A6755">
      <w:pPr>
        <w:pStyle w:val="Otsikko2"/>
      </w:pPr>
      <w:bookmarkStart w:id="14" w:name="_Toc106286994"/>
      <w:bookmarkStart w:id="15" w:name="_Toc137645918"/>
      <w:r w:rsidRPr="004A6755">
        <w:t>3.4 Aikataulut</w:t>
      </w:r>
      <w:bookmarkEnd w:id="14"/>
      <w:bookmarkEnd w:id="15"/>
    </w:p>
    <w:p w14:paraId="10390B57" w14:textId="77777777" w:rsidR="004A6755" w:rsidRDefault="004A6755" w:rsidP="004A6755">
      <w:pPr>
        <w:pStyle w:val="Leipteksti"/>
      </w:pPr>
      <w:r w:rsidRPr="004A6755">
        <w:rPr>
          <w:u w:val="single"/>
        </w:rPr>
        <w:t>Yleinen vuosiaikataulu</w:t>
      </w:r>
      <w:r>
        <w:t>, esimerkkinä v. 2025 - 2028 investointisuunnitelma</w:t>
      </w:r>
    </w:p>
    <w:p w14:paraId="6BDE9127" w14:textId="72D48FBC" w:rsidR="004A6755" w:rsidRDefault="004A6755" w:rsidP="004A6755">
      <w:pPr>
        <w:pStyle w:val="Listapallukka"/>
      </w:pPr>
      <w:r>
        <w:t>Kesä 2023: Hyvinvointialueen alustavan investointisuunnitelman julkaiseminen osana hyvinvointialueen vuosittaista selvitystä</w:t>
      </w:r>
      <w:r w:rsidR="00F96D45">
        <w:t xml:space="preserve">. </w:t>
      </w:r>
      <w:proofErr w:type="spellStart"/>
      <w:r w:rsidR="00F96D45">
        <w:t>Sosiaali</w:t>
      </w:r>
      <w:proofErr w:type="spellEnd"/>
      <w:r w:rsidR="00F96D45">
        <w:t>- ja terveyspalvelujen osalta</w:t>
      </w:r>
      <w:r w:rsidR="00CD3487">
        <w:t xml:space="preserve"> </w:t>
      </w:r>
      <w:proofErr w:type="spellStart"/>
      <w:r w:rsidR="00CD3487">
        <w:t>STM:lle</w:t>
      </w:r>
      <w:proofErr w:type="spellEnd"/>
      <w:r w:rsidR="00CD3487">
        <w:t xml:space="preserve"> ja </w:t>
      </w:r>
      <w:r w:rsidR="00F96D45">
        <w:t xml:space="preserve">pelastustoimen osalta </w:t>
      </w:r>
      <w:r w:rsidR="00CD3487">
        <w:t>SM:lle.</w:t>
      </w:r>
    </w:p>
    <w:p w14:paraId="71AE2B13" w14:textId="77777777" w:rsidR="004A6755" w:rsidRDefault="004A6755" w:rsidP="004A6755">
      <w:pPr>
        <w:pStyle w:val="Listapallukka"/>
      </w:pPr>
      <w:r>
        <w:t>Marraskuu 2023: Alustavan investointisuunnitelman tarkastelu hyvinvointialueen ja ohjaavien ministeriöiden välisissä ohjausneuvotteluissa</w:t>
      </w:r>
    </w:p>
    <w:p w14:paraId="5536F413" w14:textId="03254360" w:rsidR="004A6755" w:rsidRDefault="004A6755" w:rsidP="004A6755">
      <w:pPr>
        <w:pStyle w:val="Listapallukka"/>
      </w:pPr>
      <w:r>
        <w:t>Joulukuu 2023 (v. 2023 loppuun mennessä): Investointisuunnitelmaa koskevan esityksen toimittaminen ministeriöille</w:t>
      </w:r>
      <w:r w:rsidR="00CD3487">
        <w:t xml:space="preserve"> (</w:t>
      </w:r>
      <w:proofErr w:type="gramStart"/>
      <w:r w:rsidR="00CD3487">
        <w:t>STM,SM</w:t>
      </w:r>
      <w:proofErr w:type="gramEnd"/>
      <w:r w:rsidR="00CD3487">
        <w:t>,VM)</w:t>
      </w:r>
    </w:p>
    <w:p w14:paraId="37BD15CD" w14:textId="77777777" w:rsidR="004A6755" w:rsidRDefault="004A6755" w:rsidP="004A6755">
      <w:pPr>
        <w:pStyle w:val="Listapallukka"/>
      </w:pPr>
      <w:r>
        <w:t xml:space="preserve">Kevät 2024: </w:t>
      </w:r>
      <w:proofErr w:type="spellStart"/>
      <w:r>
        <w:t>VN:n</w:t>
      </w:r>
      <w:proofErr w:type="spellEnd"/>
      <w:r>
        <w:t xml:space="preserve"> päätös lainanottovaltuudesta julkisen talouden suunnitelman yhteydessä</w:t>
      </w:r>
    </w:p>
    <w:p w14:paraId="54C888E4" w14:textId="77777777" w:rsidR="004A6755" w:rsidRDefault="004A6755" w:rsidP="004A6755">
      <w:pPr>
        <w:pStyle w:val="Listapallukka"/>
      </w:pPr>
      <w:r>
        <w:t>Hyvinvointialueella mahdollisuus täydentää toimittamaansa investointisuunnitelmaa tässä vaiheessa; koska lainanottovaltuuden tarkka määrä ei tiedossa 2023 lopussa (2023 tilinpäätöstiedot valmistuvat vasta keväällä 2024 + lain mukaisissa poikkeustilanteissa lainanottovaltuus voisi poiketa normaalista laskennallisesta)</w:t>
      </w:r>
    </w:p>
    <w:p w14:paraId="371DCF75" w14:textId="77777777" w:rsidR="004A6755" w:rsidRDefault="004A6755" w:rsidP="004A6755">
      <w:pPr>
        <w:pStyle w:val="Listapallukka"/>
      </w:pPr>
      <w:r>
        <w:t>Toukokuu 2024: Investointisuunnitelman hyväksyminen/hylkääminen SM &amp; STM</w:t>
      </w:r>
    </w:p>
    <w:p w14:paraId="5540528C" w14:textId="77777777" w:rsidR="004A6755" w:rsidRDefault="004A6755" w:rsidP="004A6755">
      <w:pPr>
        <w:pStyle w:val="Listapallukka"/>
      </w:pPr>
      <w:r>
        <w:t>Jos hylättäisiin, uusi esitys toimitettava viivästyksettä; hyväksyttyä investointisuunnitelmaa tarvitaan vuoden 2025 talousarvioin laatimiseksi syksyllä 2024</w:t>
      </w:r>
    </w:p>
    <w:p w14:paraId="4101652C" w14:textId="77777777" w:rsidR="004E486B" w:rsidRDefault="004E486B" w:rsidP="004E486B">
      <w:pPr>
        <w:pStyle w:val="Listapallukka"/>
        <w:numPr>
          <w:ilvl w:val="0"/>
          <w:numId w:val="0"/>
        </w:numPr>
      </w:pPr>
    </w:p>
    <w:p w14:paraId="18A199B6" w14:textId="15466278" w:rsidR="004E486B" w:rsidRPr="004E486B" w:rsidRDefault="004E486B" w:rsidP="004E486B">
      <w:pPr>
        <w:pStyle w:val="Otsikko2"/>
      </w:pPr>
      <w:bookmarkStart w:id="16" w:name="_Toc137645919"/>
      <w:r>
        <w:lastRenderedPageBreak/>
        <w:t>3.5 Investointisuunnitelman muuttaminen</w:t>
      </w:r>
      <w:bookmarkEnd w:id="16"/>
    </w:p>
    <w:p w14:paraId="1299C43A" w14:textId="77777777" w:rsidR="004E486B" w:rsidRPr="004E486B" w:rsidRDefault="004E486B" w:rsidP="004E486B">
      <w:pPr>
        <w:pStyle w:val="Listapallukka"/>
        <w:numPr>
          <w:ilvl w:val="0"/>
          <w:numId w:val="0"/>
        </w:numPr>
        <w:ind w:left="1287"/>
        <w:rPr>
          <w:spacing w:val="1"/>
        </w:rPr>
      </w:pPr>
    </w:p>
    <w:p w14:paraId="6DC2B209" w14:textId="3A0D4934" w:rsidR="004E486B" w:rsidRPr="004E486B" w:rsidRDefault="004E486B" w:rsidP="00D354E2">
      <w:pPr>
        <w:pStyle w:val="Listapallukka"/>
        <w:numPr>
          <w:ilvl w:val="0"/>
          <w:numId w:val="0"/>
        </w:numPr>
        <w:tabs>
          <w:tab w:val="clear" w:pos="1276"/>
        </w:tabs>
        <w:rPr>
          <w:spacing w:val="1"/>
        </w:rPr>
      </w:pPr>
      <w:r w:rsidRPr="004E486B">
        <w:rPr>
          <w:spacing w:val="1"/>
        </w:rPr>
        <w:t xml:space="preserve">Investointisuunnitelmaan voi tehdä muutoksia vähäisten irtaimiston ja ICT sekä korjausinvestointien osalta, mikäli niiden yhteismäärä (esim. irtaimiston osalta) pysyy ennallaan. Mikäli yhteismäärä on alittumassa, tulee tästä ilmoittaa ministeriöille (voi vaikuttaa myös seuraavan vuoden lainanottovaltuuden määrään). Mikäli yhteismäärä on ylittymässä, ne tulee hyväksyttää ministeriöissä. </w:t>
      </w:r>
    </w:p>
    <w:p w14:paraId="4DDBEF00" w14:textId="77777777" w:rsidR="004E486B" w:rsidRPr="004E486B" w:rsidRDefault="004E486B" w:rsidP="00D354E2">
      <w:pPr>
        <w:pStyle w:val="Listapallukka"/>
        <w:numPr>
          <w:ilvl w:val="0"/>
          <w:numId w:val="0"/>
        </w:numPr>
        <w:tabs>
          <w:tab w:val="clear" w:pos="1276"/>
        </w:tabs>
        <w:rPr>
          <w:spacing w:val="1"/>
        </w:rPr>
      </w:pPr>
    </w:p>
    <w:p w14:paraId="21D55734" w14:textId="50BDD686" w:rsidR="004E486B" w:rsidRPr="004E486B" w:rsidRDefault="004E486B" w:rsidP="00D354E2">
      <w:pPr>
        <w:pStyle w:val="Listapallukka"/>
        <w:numPr>
          <w:ilvl w:val="0"/>
          <w:numId w:val="0"/>
        </w:numPr>
        <w:tabs>
          <w:tab w:val="clear" w:pos="1276"/>
        </w:tabs>
        <w:rPr>
          <w:spacing w:val="1"/>
        </w:rPr>
      </w:pPr>
      <w:r w:rsidRPr="004E486B">
        <w:rPr>
          <w:spacing w:val="1"/>
        </w:rPr>
        <w:t>Uudisrakennushankkeiden osalta muutokset tulee aina hyväksyttää asianomaisella ministeriöllä, vaikka niiden yhteismäärä pysyisi ennallaan. Uudisrakennushankkeen poistumista alkuperäisestä investointisuunnitelmasta ei tarvitse luonnollisesti hyväksyttää ao. ministeriöllä, mutta asiasta tulee kuitenkin ilmoittaa ministeriöille. Mikäli uudisrakennushanke olisi vaihtumassa toiseen hankkeeseen, tulee se hyväksyttää ao. ministeriöllä, vaikka niiden kustannusarvio olisi sama. STM ja SM vastaavat siis investointisuunnitelmien hyväksymisestä (</w:t>
      </w:r>
      <w:proofErr w:type="spellStart"/>
      <w:r w:rsidRPr="004E486B">
        <w:rPr>
          <w:spacing w:val="1"/>
        </w:rPr>
        <w:t>soten</w:t>
      </w:r>
      <w:proofErr w:type="spellEnd"/>
      <w:r w:rsidRPr="004E486B">
        <w:rPr>
          <w:spacing w:val="1"/>
        </w:rPr>
        <w:t xml:space="preserve"> ja </w:t>
      </w:r>
      <w:proofErr w:type="spellStart"/>
      <w:r w:rsidRPr="004E486B">
        <w:rPr>
          <w:spacing w:val="1"/>
        </w:rPr>
        <w:t>pelan</w:t>
      </w:r>
      <w:proofErr w:type="spellEnd"/>
      <w:r w:rsidRPr="004E486B">
        <w:rPr>
          <w:spacing w:val="1"/>
        </w:rPr>
        <w:t xml:space="preserve"> osasuunnitelmat) ja STM hylkää hyvinvointialueen investointisuunnitelmaa koskevan esityksen, jos se on ristiriidassa hyvinvointialueen lainanottovaltuuden kanssa. </w:t>
      </w:r>
    </w:p>
    <w:p w14:paraId="29D6B04F" w14:textId="77777777" w:rsidR="004E486B" w:rsidRPr="004E486B" w:rsidRDefault="004E486B" w:rsidP="00D354E2">
      <w:pPr>
        <w:pStyle w:val="Listapallukka"/>
        <w:numPr>
          <w:ilvl w:val="0"/>
          <w:numId w:val="0"/>
        </w:numPr>
        <w:tabs>
          <w:tab w:val="clear" w:pos="1276"/>
        </w:tabs>
        <w:rPr>
          <w:spacing w:val="1"/>
        </w:rPr>
      </w:pPr>
      <w:r w:rsidRPr="004E486B">
        <w:rPr>
          <w:spacing w:val="1"/>
        </w:rPr>
        <w:t xml:space="preserve"> </w:t>
      </w:r>
    </w:p>
    <w:p w14:paraId="260D6E8D" w14:textId="2867EC7D" w:rsidR="004E486B" w:rsidRPr="004E486B" w:rsidRDefault="004E486B" w:rsidP="00D354E2">
      <w:pPr>
        <w:pStyle w:val="Listapallukka"/>
        <w:numPr>
          <w:ilvl w:val="0"/>
          <w:numId w:val="0"/>
        </w:numPr>
        <w:tabs>
          <w:tab w:val="clear" w:pos="1276"/>
        </w:tabs>
        <w:rPr>
          <w:spacing w:val="1"/>
        </w:rPr>
      </w:pPr>
      <w:r w:rsidRPr="004E486B">
        <w:rPr>
          <w:spacing w:val="1"/>
        </w:rPr>
        <w:t xml:space="preserve">Tarkoituksena on, että investointisuunnitelmat hyväksytään pääsääntöisesti vain kerran vuodessa ja mikäli muutoksia niihin ilmenee, niin ne huomioidaan seuraavan vuoden investointisuunnitelmissa (aikaisempien investointisuunnitelmien muutos). Mikäli kuitenkin muutokset ovat aivan välttämättömiä toteuttaa jo kuluvan vuoden aikana, muutokset tulee toimittaa hyväksyttäviksi asianomaiseen ministeriöön viipymättä. </w:t>
      </w:r>
    </w:p>
    <w:p w14:paraId="3461D779" w14:textId="77777777" w:rsidR="004E486B" w:rsidRPr="004E486B" w:rsidRDefault="004E486B" w:rsidP="00D354E2">
      <w:pPr>
        <w:pStyle w:val="Listapallukka"/>
        <w:numPr>
          <w:ilvl w:val="0"/>
          <w:numId w:val="0"/>
        </w:numPr>
        <w:tabs>
          <w:tab w:val="clear" w:pos="1276"/>
        </w:tabs>
        <w:rPr>
          <w:spacing w:val="1"/>
        </w:rPr>
      </w:pPr>
    </w:p>
    <w:p w14:paraId="74E4F2DC" w14:textId="11ECEE26" w:rsidR="004E486B" w:rsidRPr="004E486B" w:rsidRDefault="004E486B" w:rsidP="00D354E2">
      <w:pPr>
        <w:pStyle w:val="Listapallukka"/>
        <w:numPr>
          <w:ilvl w:val="0"/>
          <w:numId w:val="0"/>
        </w:numPr>
        <w:tabs>
          <w:tab w:val="clear" w:pos="1276"/>
        </w:tabs>
        <w:rPr>
          <w:spacing w:val="1"/>
        </w:rPr>
      </w:pPr>
      <w:r w:rsidRPr="004E486B">
        <w:rPr>
          <w:spacing w:val="1"/>
        </w:rPr>
        <w:t>Muutoksia ei voida hyväksyä sellaisenaan, mikäli muutokset johtaisivat lainanottovaltuuden ylitykseen. Tällöin alueen tulee hakea VM:ltä lainanottovaltuuden muuttamista. Lainanottovaltuuden muutokset tehdään myös periaatteessa vain kerran vuodessa eli esim. kustannusarvioiden ylitysten johdosta lainanottovaltuuden näköpiirissä oleva ylittyminen huomioidaan seuraavan vuoden investointisuunnitelmassa ja mikäli em. muutokset eivät mahdu seuraavan vuoden lainanottovaltuuteen (laskennallinen), alueen tulee hakea lainanottovaltuuden muutosta.</w:t>
      </w:r>
    </w:p>
    <w:p w14:paraId="3CF2D8B6" w14:textId="77777777" w:rsidR="004E486B" w:rsidRPr="00B9409F" w:rsidRDefault="004E486B" w:rsidP="004E486B">
      <w:pPr>
        <w:pStyle w:val="Listapallukka"/>
        <w:numPr>
          <w:ilvl w:val="0"/>
          <w:numId w:val="0"/>
        </w:numPr>
        <w:rPr>
          <w:spacing w:val="1"/>
        </w:rPr>
      </w:pPr>
    </w:p>
    <w:p w14:paraId="5C158781" w14:textId="77777777" w:rsidR="004A6755" w:rsidRDefault="004A6755" w:rsidP="004E486B">
      <w:pPr>
        <w:pStyle w:val="Otsikko1"/>
        <w:keepNext/>
        <w:keepLines/>
        <w:numPr>
          <w:ilvl w:val="0"/>
          <w:numId w:val="8"/>
        </w:numPr>
        <w:suppressAutoHyphens w:val="0"/>
        <w:spacing w:before="480" w:after="160" w:line="240" w:lineRule="auto"/>
        <w:ind w:left="0" w:firstLine="0"/>
        <w:jc w:val="both"/>
      </w:pPr>
      <w:bookmarkStart w:id="17" w:name="_Toc137645920"/>
      <w:r w:rsidRPr="00F20C47">
        <w:t>Lainanottovaltuus</w:t>
      </w:r>
      <w:bookmarkEnd w:id="8"/>
      <w:bookmarkEnd w:id="17"/>
    </w:p>
    <w:p w14:paraId="0F287666" w14:textId="77777777" w:rsidR="004A6755" w:rsidRDefault="004A6755" w:rsidP="004A6755">
      <w:pPr>
        <w:pStyle w:val="Otsikko2"/>
      </w:pPr>
      <w:bookmarkStart w:id="18" w:name="_Toc137645921"/>
      <w:r w:rsidRPr="004A6755">
        <w:t>4.1 Laskentaperiaate</w:t>
      </w:r>
      <w:bookmarkEnd w:id="18"/>
    </w:p>
    <w:p w14:paraId="1B1060EF" w14:textId="77777777" w:rsidR="004A6755" w:rsidRDefault="004A6755" w:rsidP="004A6755">
      <w:pPr>
        <w:pStyle w:val="Leipteksti"/>
        <w:rPr>
          <w:lang w:eastAsia="en-US"/>
        </w:rPr>
      </w:pPr>
      <w:r>
        <w:rPr>
          <w:lang w:eastAsia="en-US"/>
        </w:rPr>
        <w:t>Hyvinvointialueesta annetun lain 15 §:n mukaan valtioneuvosto päättää vuosittain valtiovarainministeriön esityksestä hyvinvointialueen tilikausittaisen valtuuden määrästä pitkäaikaisen lainan ottamiseksi. Hyvinvointialue saa ottaa lainaa päätöksen mukaisen määrän hyvinvointialueesta annetun lain 16 §:ssä tarkoitetun investointisuunnitelman mukaisten investointien rahoittamiseksi. Valtioneuvoston aiemmat päätökset valtuuden määrästä otetaan huomioon lainanottovaltuuden määrässä. Valtioneuvoston päätös perustuu julkisen talouden suunnitelmaan sekä hyvinvointialueen lainanottovaltuuteen. Jos julkisen talouden, valtiontalouden tai hyvinvointialueen rahoitusasema heikentyy merkittävästi ja poikkeuksellisesti, hyvinvointialueen lainanottovaltuus voidaan vahvistaa hyvinvointialueesta annetun lain 15 §:n 2 momentin mukaista lainanottovaltuutta pienemmäksi.</w:t>
      </w:r>
    </w:p>
    <w:p w14:paraId="0556B10E" w14:textId="3013F22D" w:rsidR="004A6755" w:rsidRDefault="004A6755" w:rsidP="004A6755">
      <w:pPr>
        <w:pStyle w:val="Leipteksti"/>
        <w:rPr>
          <w:lang w:eastAsia="en-US"/>
        </w:rPr>
      </w:pPr>
      <w:r>
        <w:rPr>
          <w:lang w:eastAsia="en-US"/>
        </w:rPr>
        <w:lastRenderedPageBreak/>
        <w:t xml:space="preserve">Lainanottovaltuutta koskeva päätös tehdään joka vuosi. Hyvinvointialue voi kuitenkin käyttää päätettyä lainanottovaltuutta useana tilikautena, jos se toteuttaa investointia usean vuoden aikana investointisuunnitelman mukaisesti. Investoinnin rahoittamiseksi otettavaa lainaa voi siten nostaa useana vuonna. Valtioneuvoston aiemmat päätökset valtuuden määrästä otetaan huomioon seuraavan vuoden lainanottovaltuuden määrässä. Siten seuraavan tilikauden laskelmassa otetaan huomioon myönnetyt lainanottovaltuudet ja niiden mukaisesti nostetut lainat kokonaisuudessaan. Tämä tarkoittaa, että lainanottovaltuutta koskevassa valtioneuvoston päätöksessä huomioidaan päätösvuodelle edellisenä vuonna päätetty valtuus. Esimerkiksi vuodelle 2024 päätetty lainanottovaltuus otetaan huomioon, kun valtioneuvosto tekee vuonna 2024 päätöksen vuoden 2025 lainanottovaltuudesta. Vuodelle 2025 laskettavasta lainanottovaltuuden enimmäismäärästä vähennetään vuodelle 2024 päätetty lainanotto-valtuus. </w:t>
      </w:r>
      <w:r w:rsidR="00F80CC3">
        <w:rPr>
          <w:lang w:eastAsia="en-US"/>
        </w:rPr>
        <w:t>Aiempien vuosien ns. sidottu lainanottovaltuus vapautuu sitä mukaan, kun pitkäaikaista lainaa nostetaan ja investointeja vastaavien sopimusten vuokranmaksu (pääomavuokran) alkaa.</w:t>
      </w:r>
    </w:p>
    <w:p w14:paraId="724705A0" w14:textId="77777777" w:rsidR="004A6755" w:rsidRDefault="004A6755" w:rsidP="004A6755">
      <w:pPr>
        <w:pStyle w:val="Leipteksti"/>
        <w:rPr>
          <w:lang w:eastAsia="en-US"/>
        </w:rPr>
      </w:pPr>
      <w:r>
        <w:rPr>
          <w:lang w:eastAsia="en-US"/>
        </w:rPr>
        <w:t>Hyvinvointialue ei saa käyttää pitkäaikaista lainaa muuhun tarkoitukseen kuin investointien rahoittamiseen.</w:t>
      </w:r>
    </w:p>
    <w:p w14:paraId="4341A6EB" w14:textId="77777777" w:rsidR="004A6755" w:rsidRDefault="004A6755" w:rsidP="004A6755">
      <w:pPr>
        <w:pStyle w:val="Leipteksti"/>
        <w:rPr>
          <w:lang w:eastAsia="en-US"/>
        </w:rPr>
      </w:pPr>
      <w:r>
        <w:rPr>
          <w:lang w:eastAsia="en-US"/>
        </w:rPr>
        <w:t>Hyvinvointialuetta koskevassa laissa lainanhoitokate on asetettu tavoitetasolle, että hyvinvointialue voi selvitä lainanlyhennyksistään. Lainanottovaltuuden määrä on siten riippuvainen kunkin hyvinvointialueen taloudellisesta tilanteesta ja lainakanta sekä jo päätettyjen investointien määrä vaikuttavat lainanottovaltuuden suuruuteen. Jos hyvinvointialueella jo on toteutettu merkittäviä investointeja, sen lainanottokyky ja -valtuus voivat olla alhaisella tasolla tai negatiivinen. Tästä johtuen hyvinvointialueiden investointien suunnittelun onnistumisella on suuri merkitys hyvinvointialueen talouden ja toiminnan kannalta. Hyvinvointialueiden lainanottovaltuus ei koske kuntayhtymiltä hyvinvointialueille siirtyviä olemassa olevia lainoja tai niiden uusimista. Lainakantaan nämä siirtyvät lainat toki lasketaan mukaan.</w:t>
      </w:r>
    </w:p>
    <w:p w14:paraId="3240E9E4" w14:textId="77777777" w:rsidR="004A6755" w:rsidRDefault="004A6755" w:rsidP="004A6755">
      <w:pPr>
        <w:pStyle w:val="Leipteksti"/>
        <w:rPr>
          <w:lang w:eastAsia="en-US"/>
        </w:rPr>
      </w:pPr>
      <w:r>
        <w:rPr>
          <w:lang w:eastAsia="en-US"/>
        </w:rPr>
        <w:t>Hyvinvointialueen lainanottovaltuus on hyvinvointialueen laskennalliseen lainanhoitokatteeseen perustuvan enimmäismäärän ja tilikauden alun ennakoidun lainamäärän erotus. Laskennallinen lainanhoitokate lasketaan kaavalla, jossa tuloslaskelman vuosikatteeseen lisätään korkokulut ja summa jaetaan korkokulujen ja laskennallisten lainanlyhennysten summalla. Laskennalliset lainanlyhennykset saadaan jakamalla taseen lainamäärä kymmenellä. Lainanottovaltuuden määrää laskettaessa laskennallisen lainanhoitokatteen arvo on yksi. Vuosikatteen arvona käytetään hyvinvointialueen tilikautta edeltävän vuoden talousarvion mukaista arvoa, jota voidaan oikaista hyvinvointialuelain 120 §:n mukaisen talouden seurannan tiedoilla esimerkiksi kertaluonteisilla poikkeuksellisilla erillä. VM huomioi lainanottovaltuudessa tilivuotta edeltävän vuoden lainannostot ja lyhennykset.</w:t>
      </w:r>
    </w:p>
    <w:p w14:paraId="26479D63" w14:textId="77777777" w:rsidR="004A6755" w:rsidRDefault="004A6755" w:rsidP="004A6755">
      <w:pPr>
        <w:pStyle w:val="Leipteksti"/>
        <w:rPr>
          <w:lang w:eastAsia="en-US"/>
        </w:rPr>
      </w:pPr>
      <w:r>
        <w:rPr>
          <w:lang w:eastAsia="en-US"/>
        </w:rPr>
        <w:t>Käytännössä maksimilainamäärä saadaan kertomalla vuosikate 10:llä. Maksimilainamäärästä vähennetään tilikauden alun ennakoitu lainamäärä, jolloin erotus on lainanottovaltuus. Lainamäärää laskettaessa myös lyhytaikaiset lainat otetaan mukaan lainamäärään (sekä alun perin alle vuoden takaisinmaksuajalla nostetut, että pitkäaikaisten lainojen seuraavan vuoden lyhennykset)</w:t>
      </w:r>
    </w:p>
    <w:p w14:paraId="49206AA0" w14:textId="77777777" w:rsidR="004A6755" w:rsidRDefault="004A6755" w:rsidP="004A6755">
      <w:pPr>
        <w:pStyle w:val="Leipteksti"/>
        <w:rPr>
          <w:lang w:eastAsia="en-US"/>
        </w:rPr>
      </w:pPr>
      <w:r>
        <w:rPr>
          <w:lang w:eastAsia="en-US"/>
        </w:rPr>
        <w:t>Vuokramenot vaikuttavat vuosikatteeseen. Aiemmin tehdyt vuokrasopimukset heikentävät vuosikatetta, jolloin maksimilainamäärä ja siten lainanottovaltuus vähenee. Hyvinvointialueesta annetun lain 16 §:n 1 momentin mukaisesti investointisuunnitelman tulee sisältää tiedot investoinneista ja investointeja vastaavista sopimuksista (vuokrasopimuksista). Koska investointisuunnitelma ei voi olla ristiriidassa lainanottovaltuuden kanssa, tulee valtuuden riittää myös näihin investointeja vastaaviin uusiin sopimuksiin.</w:t>
      </w:r>
    </w:p>
    <w:p w14:paraId="35555B3C" w14:textId="77777777" w:rsidR="004A6755" w:rsidRDefault="004A6755" w:rsidP="004A6755">
      <w:pPr>
        <w:pStyle w:val="Leipteksti"/>
        <w:rPr>
          <w:lang w:eastAsia="en-US"/>
        </w:rPr>
      </w:pPr>
      <w:r>
        <w:rPr>
          <w:lang w:eastAsia="en-US"/>
        </w:rPr>
        <w:lastRenderedPageBreak/>
        <w:t>Hankkeiden toteuttaminen yhtiöiden kautta on nykyisin varsin yleistä. Yhtiöiden investoinnit vaikuttavat esimerkiksi vuokramenoina hyvinvointialueen vuosikatteeseen, ja siten pienentävät hyvinvointialueen lainanottovaltuutta. Leasingin osalta lainanottovaltuuden laskennassa huomioitavaksi kustannukseksi otetaan investoidusta pääomasta aiheutuva osuus sopimushinnasta. Sopimukseen sisältyvien juoksevien kulujen osuutta (kuten kiinteistön ylläpidon tai huollon osuutta) ei huomioida investointeja vastaavien sopimusten vuosikuluna. Vuosikatteeseen ja sitä kautta lainanottovaltuuteen erät toki vaikuttavat.</w:t>
      </w:r>
    </w:p>
    <w:p w14:paraId="0FB78278" w14:textId="77777777" w:rsidR="004A6755" w:rsidRPr="004A6755" w:rsidRDefault="004A6755" w:rsidP="004A6755">
      <w:pPr>
        <w:suppressAutoHyphens/>
        <w:spacing w:after="20"/>
        <w:jc w:val="both"/>
        <w:rPr>
          <w:rFonts w:ascii="Arial" w:hAnsi="Arial" w:cs="Arial"/>
          <w:lang w:val="fi-FI" w:eastAsia="fi-FI"/>
        </w:rPr>
      </w:pPr>
    </w:p>
    <w:p w14:paraId="76E4BB25" w14:textId="77777777" w:rsidR="004A6755" w:rsidRPr="004A6755" w:rsidRDefault="004A6755" w:rsidP="004A6755">
      <w:pPr>
        <w:pBdr>
          <w:top w:val="single" w:sz="4" w:space="1" w:color="auto"/>
          <w:left w:val="single" w:sz="4" w:space="3" w:color="auto"/>
          <w:bottom w:val="single" w:sz="4" w:space="1" w:color="auto"/>
          <w:right w:val="single" w:sz="4" w:space="4" w:color="auto"/>
        </w:pBdr>
        <w:suppressAutoHyphens/>
        <w:spacing w:after="20"/>
        <w:jc w:val="both"/>
        <w:rPr>
          <w:rFonts w:ascii="Arial" w:hAnsi="Arial" w:cs="Arial"/>
          <w:sz w:val="18"/>
          <w:szCs w:val="18"/>
          <w:lang w:val="fi-FI" w:eastAsia="fi-FI"/>
          <w14:textOutline w14:w="9525" w14:cap="rnd" w14:cmpd="sng" w14:algn="ctr">
            <w14:noFill/>
            <w14:prstDash w14:val="solid"/>
            <w14:bevel/>
          </w14:textOutline>
        </w:rPr>
      </w:pPr>
      <w:r w:rsidRPr="004A6755">
        <w:rPr>
          <w:rFonts w:ascii="Arial" w:hAnsi="Arial" w:cs="Arial"/>
          <w:sz w:val="18"/>
          <w:szCs w:val="18"/>
          <w:lang w:val="fi-FI" w:eastAsia="fi-FI"/>
          <w14:textOutline w14:w="9525" w14:cap="rnd" w14:cmpd="sng" w14:algn="ctr">
            <w14:noFill/>
            <w14:prstDash w14:val="solid"/>
            <w14:bevel/>
          </w14:textOutline>
        </w:rPr>
        <w:t xml:space="preserve">Esimerkki lainanottovaltuuden laskemisesta vuodelle 2024 </w:t>
      </w:r>
      <w:r w:rsidRPr="004A6755">
        <w:rPr>
          <w:rFonts w:ascii="Arial" w:hAnsi="Arial" w:cs="Arial"/>
          <w:sz w:val="18"/>
          <w:szCs w:val="18"/>
          <w:lang w:val="fi-FI" w:eastAsia="fi-FI"/>
          <w14:textOutline w14:w="9525" w14:cap="rnd" w14:cmpd="sng" w14:algn="ctr">
            <w14:noFill/>
            <w14:prstDash w14:val="solid"/>
            <w14:bevel/>
          </w14:textOutline>
        </w:rPr>
        <w:tab/>
      </w:r>
      <w:r w:rsidRPr="004A6755">
        <w:rPr>
          <w:rFonts w:ascii="Arial" w:hAnsi="Arial" w:cs="Arial"/>
          <w:sz w:val="18"/>
          <w:szCs w:val="18"/>
          <w:lang w:val="fi-FI" w:eastAsia="fi-FI"/>
          <w14:textOutline w14:w="9525" w14:cap="rnd" w14:cmpd="sng" w14:algn="ctr">
            <w14:noFill/>
            <w14:prstDash w14:val="solid"/>
            <w14:bevel/>
          </w14:textOutline>
        </w:rPr>
        <w:tab/>
      </w:r>
      <w:r w:rsidRPr="004A6755">
        <w:rPr>
          <w:rFonts w:ascii="Arial" w:hAnsi="Arial" w:cs="Arial"/>
          <w:sz w:val="18"/>
          <w:szCs w:val="18"/>
          <w:lang w:val="fi-FI" w:eastAsia="fi-FI"/>
          <w14:textOutline w14:w="9525" w14:cap="rnd" w14:cmpd="sng" w14:algn="ctr">
            <w14:noFill/>
            <w14:prstDash w14:val="solid"/>
            <w14:bevel/>
          </w14:textOutline>
        </w:rPr>
        <w:tab/>
        <w:t>(1 000 e):</w:t>
      </w:r>
      <w:r w:rsidRPr="004A6755">
        <w:rPr>
          <w:rFonts w:ascii="Arial" w:hAnsi="Arial" w:cs="Arial"/>
          <w:sz w:val="18"/>
          <w:szCs w:val="18"/>
          <w:lang w:val="fi-FI" w:eastAsia="fi-FI"/>
          <w14:textOutline w14:w="9525" w14:cap="rnd" w14:cmpd="sng" w14:algn="ctr">
            <w14:noFill/>
            <w14:prstDash w14:val="solid"/>
            <w14:bevel/>
          </w14:textOutline>
        </w:rPr>
        <w:tab/>
      </w:r>
    </w:p>
    <w:p w14:paraId="1FC39945" w14:textId="77777777" w:rsidR="004A6755" w:rsidRPr="004A6755" w:rsidRDefault="004A6755" w:rsidP="004A6755">
      <w:pPr>
        <w:pBdr>
          <w:top w:val="single" w:sz="4" w:space="1" w:color="auto"/>
          <w:left w:val="single" w:sz="4" w:space="3" w:color="auto"/>
          <w:bottom w:val="single" w:sz="4" w:space="1" w:color="auto"/>
          <w:right w:val="single" w:sz="4" w:space="4" w:color="auto"/>
        </w:pBdr>
        <w:suppressAutoHyphens/>
        <w:spacing w:after="20"/>
        <w:jc w:val="both"/>
        <w:rPr>
          <w:rFonts w:ascii="Arial" w:hAnsi="Arial" w:cs="Arial"/>
          <w:sz w:val="18"/>
          <w:szCs w:val="18"/>
          <w:lang w:val="fi-FI" w:eastAsia="fi-FI"/>
          <w14:textOutline w14:w="9525" w14:cap="rnd" w14:cmpd="sng" w14:algn="ctr">
            <w14:noFill/>
            <w14:prstDash w14:val="solid"/>
            <w14:bevel/>
          </w14:textOutline>
        </w:rPr>
      </w:pPr>
    </w:p>
    <w:p w14:paraId="7561B192" w14:textId="77777777" w:rsidR="004A6755" w:rsidRPr="004A6755" w:rsidRDefault="004A6755" w:rsidP="004A6755">
      <w:pPr>
        <w:pBdr>
          <w:top w:val="single" w:sz="4" w:space="1" w:color="auto"/>
          <w:left w:val="single" w:sz="4" w:space="3" w:color="auto"/>
          <w:bottom w:val="single" w:sz="4" w:space="1" w:color="auto"/>
          <w:right w:val="single" w:sz="4" w:space="4" w:color="auto"/>
        </w:pBdr>
        <w:suppressAutoHyphens/>
        <w:spacing w:after="20"/>
        <w:jc w:val="both"/>
        <w:rPr>
          <w:rFonts w:ascii="Arial" w:hAnsi="Arial" w:cs="Arial"/>
          <w:sz w:val="18"/>
          <w:szCs w:val="18"/>
          <w:lang w:val="fi-FI" w:eastAsia="fi-FI"/>
          <w14:textOutline w14:w="9525" w14:cap="rnd" w14:cmpd="sng" w14:algn="ctr">
            <w14:noFill/>
            <w14:prstDash w14:val="solid"/>
            <w14:bevel/>
          </w14:textOutline>
        </w:rPr>
      </w:pPr>
      <w:r w:rsidRPr="004A6755">
        <w:rPr>
          <w:rFonts w:ascii="Arial" w:hAnsi="Arial" w:cs="Arial"/>
          <w:sz w:val="18"/>
          <w:szCs w:val="18"/>
          <w:lang w:val="fi-FI" w:eastAsia="fi-FI"/>
          <w14:textOutline w14:w="9525" w14:cap="rnd" w14:cmpd="sng" w14:algn="ctr">
            <w14:noFill/>
            <w14:prstDash w14:val="solid"/>
            <w14:bevel/>
          </w14:textOutline>
        </w:rPr>
        <w:t>Hyvinvointialueen vuosikate (TA 2023)</w:t>
      </w:r>
      <w:r w:rsidRPr="004A6755">
        <w:rPr>
          <w:rFonts w:ascii="Arial" w:hAnsi="Arial" w:cs="Arial"/>
          <w:sz w:val="18"/>
          <w:szCs w:val="18"/>
          <w:lang w:val="fi-FI" w:eastAsia="fi-FI"/>
          <w14:textOutline w14:w="9525" w14:cap="rnd" w14:cmpd="sng" w14:algn="ctr">
            <w14:noFill/>
            <w14:prstDash w14:val="solid"/>
            <w14:bevel/>
          </w14:textOutline>
        </w:rPr>
        <w:tab/>
      </w:r>
      <w:r w:rsidRPr="004A6755">
        <w:rPr>
          <w:rFonts w:ascii="Arial" w:hAnsi="Arial" w:cs="Arial"/>
          <w:sz w:val="18"/>
          <w:szCs w:val="18"/>
          <w:lang w:val="fi-FI" w:eastAsia="fi-FI"/>
          <w14:textOutline w14:w="9525" w14:cap="rnd" w14:cmpd="sng" w14:algn="ctr">
            <w14:noFill/>
            <w14:prstDash w14:val="solid"/>
            <w14:bevel/>
          </w14:textOutline>
        </w:rPr>
        <w:tab/>
      </w:r>
      <w:r w:rsidRPr="004A6755">
        <w:rPr>
          <w:rFonts w:ascii="Arial" w:hAnsi="Arial" w:cs="Arial"/>
          <w:sz w:val="18"/>
          <w:szCs w:val="18"/>
          <w:lang w:val="fi-FI" w:eastAsia="fi-FI"/>
          <w14:textOutline w14:w="9525" w14:cap="rnd" w14:cmpd="sng" w14:algn="ctr">
            <w14:noFill/>
            <w14:prstDash w14:val="solid"/>
            <w14:bevel/>
          </w14:textOutline>
        </w:rPr>
        <w:tab/>
      </w:r>
      <w:r w:rsidRPr="004A6755">
        <w:rPr>
          <w:rFonts w:ascii="Arial" w:hAnsi="Arial" w:cs="Arial"/>
          <w:sz w:val="18"/>
          <w:szCs w:val="18"/>
          <w:lang w:val="fi-FI" w:eastAsia="fi-FI"/>
          <w14:textOutline w14:w="9525" w14:cap="rnd" w14:cmpd="sng" w14:algn="ctr">
            <w14:noFill/>
            <w14:prstDash w14:val="solid"/>
            <w14:bevel/>
          </w14:textOutline>
        </w:rPr>
        <w:tab/>
      </w:r>
      <w:r w:rsidRPr="004A6755">
        <w:rPr>
          <w:rFonts w:ascii="Arial" w:hAnsi="Arial" w:cs="Arial"/>
          <w:sz w:val="18"/>
          <w:szCs w:val="18"/>
          <w:lang w:val="fi-FI" w:eastAsia="fi-FI"/>
          <w14:textOutline w14:w="9525" w14:cap="rnd" w14:cmpd="sng" w14:algn="ctr">
            <w14:noFill/>
            <w14:prstDash w14:val="solid"/>
            <w14:bevel/>
          </w14:textOutline>
        </w:rPr>
        <w:tab/>
        <w:t>15 000</w:t>
      </w:r>
    </w:p>
    <w:p w14:paraId="5E744054" w14:textId="079755E5" w:rsidR="004A6755" w:rsidRPr="004A6755" w:rsidRDefault="004A6755" w:rsidP="004A6755">
      <w:pPr>
        <w:pBdr>
          <w:top w:val="single" w:sz="4" w:space="1" w:color="auto"/>
          <w:left w:val="single" w:sz="4" w:space="3" w:color="auto"/>
          <w:bottom w:val="single" w:sz="4" w:space="1" w:color="auto"/>
          <w:right w:val="single" w:sz="4" w:space="4" w:color="auto"/>
        </w:pBdr>
        <w:suppressAutoHyphens/>
        <w:spacing w:after="20"/>
        <w:jc w:val="both"/>
        <w:rPr>
          <w:rFonts w:ascii="Arial" w:hAnsi="Arial" w:cs="Arial"/>
          <w:sz w:val="18"/>
          <w:szCs w:val="18"/>
          <w:lang w:val="fi-FI" w:eastAsia="fi-FI"/>
          <w14:textOutline w14:w="9525" w14:cap="rnd" w14:cmpd="sng" w14:algn="ctr">
            <w14:noFill/>
            <w14:prstDash w14:val="solid"/>
            <w14:bevel/>
          </w14:textOutline>
        </w:rPr>
      </w:pPr>
      <w:r w:rsidRPr="004A6755">
        <w:rPr>
          <w:rFonts w:ascii="Arial" w:hAnsi="Arial" w:cs="Arial"/>
          <w:sz w:val="18"/>
          <w:szCs w:val="18"/>
          <w:lang w:val="fi-FI" w:eastAsia="fi-FI"/>
          <w14:textOutline w14:w="9525" w14:cap="rnd" w14:cmpd="sng" w14:algn="ctr">
            <w14:noFill/>
            <w14:prstDash w14:val="solid"/>
            <w14:bevel/>
          </w14:textOutline>
        </w:rPr>
        <w:t>Hyvinvointialueen ennakoitu lainamäärä vuoden 2024 alussa</w:t>
      </w:r>
      <w:r w:rsidRPr="004A6755">
        <w:rPr>
          <w:rFonts w:ascii="Arial" w:hAnsi="Arial" w:cs="Arial"/>
          <w:sz w:val="18"/>
          <w:szCs w:val="18"/>
          <w:lang w:val="fi-FI" w:eastAsia="fi-FI"/>
          <w14:textOutline w14:w="9525" w14:cap="rnd" w14:cmpd="sng" w14:algn="ctr">
            <w14:noFill/>
            <w14:prstDash w14:val="solid"/>
            <w14:bevel/>
          </w14:textOutline>
        </w:rPr>
        <w:tab/>
      </w:r>
      <w:r w:rsidRPr="004A6755">
        <w:rPr>
          <w:rFonts w:ascii="Arial" w:hAnsi="Arial" w:cs="Arial"/>
          <w:sz w:val="18"/>
          <w:szCs w:val="18"/>
          <w:lang w:val="fi-FI" w:eastAsia="fi-FI"/>
          <w14:textOutline w14:w="9525" w14:cap="rnd" w14:cmpd="sng" w14:algn="ctr">
            <w14:noFill/>
            <w14:prstDash w14:val="solid"/>
            <w14:bevel/>
          </w14:textOutline>
        </w:rPr>
        <w:tab/>
      </w:r>
      <w:r w:rsidRPr="004A6755">
        <w:rPr>
          <w:rFonts w:ascii="Arial" w:hAnsi="Arial" w:cs="Arial"/>
          <w:sz w:val="18"/>
          <w:szCs w:val="18"/>
          <w:lang w:val="fi-FI" w:eastAsia="fi-FI"/>
          <w14:textOutline w14:w="9525" w14:cap="rnd" w14:cmpd="sng" w14:algn="ctr">
            <w14:noFill/>
            <w14:prstDash w14:val="solid"/>
            <w14:bevel/>
          </w14:textOutline>
        </w:rPr>
        <w:tab/>
        <w:t>30 000</w:t>
      </w:r>
    </w:p>
    <w:p w14:paraId="07601D2F" w14:textId="7F731B8A" w:rsidR="004A6755" w:rsidRDefault="004A6755" w:rsidP="004A6755">
      <w:pPr>
        <w:pBdr>
          <w:top w:val="single" w:sz="4" w:space="1" w:color="auto"/>
          <w:left w:val="single" w:sz="4" w:space="3" w:color="auto"/>
          <w:bottom w:val="single" w:sz="4" w:space="1" w:color="auto"/>
          <w:right w:val="single" w:sz="4" w:space="4" w:color="auto"/>
        </w:pBdr>
        <w:suppressAutoHyphens/>
        <w:spacing w:after="20"/>
        <w:jc w:val="both"/>
        <w:rPr>
          <w:rFonts w:ascii="Arial" w:hAnsi="Arial" w:cs="Arial"/>
          <w:sz w:val="18"/>
          <w:szCs w:val="18"/>
          <w:lang w:val="fi-FI" w:eastAsia="fi-FI"/>
          <w14:textOutline w14:w="9525" w14:cap="rnd" w14:cmpd="sng" w14:algn="ctr">
            <w14:noFill/>
            <w14:prstDash w14:val="solid"/>
            <w14:bevel/>
          </w14:textOutline>
        </w:rPr>
      </w:pPr>
      <w:r w:rsidRPr="004A6755">
        <w:rPr>
          <w:rFonts w:ascii="Arial" w:hAnsi="Arial" w:cs="Arial"/>
          <w:sz w:val="18"/>
          <w:szCs w:val="18"/>
          <w:lang w:val="fi-FI" w:eastAsia="fi-FI"/>
          <w14:textOutline w14:w="9525" w14:cap="rnd" w14:cmpd="sng" w14:algn="ctr">
            <w14:noFill/>
            <w14:prstDash w14:val="solid"/>
            <w14:bevel/>
          </w14:textOutline>
        </w:rPr>
        <w:t xml:space="preserve">Maksimilainamäärä </w:t>
      </w:r>
      <w:r w:rsidRPr="004A6755">
        <w:rPr>
          <w:rFonts w:ascii="Arial" w:hAnsi="Arial" w:cs="Arial"/>
          <w:sz w:val="18"/>
          <w:szCs w:val="18"/>
          <w:lang w:val="fi-FI" w:eastAsia="fi-FI"/>
          <w14:textOutline w14:w="9525" w14:cap="rnd" w14:cmpd="sng" w14:algn="ctr">
            <w14:noFill/>
            <w14:prstDash w14:val="solid"/>
            <w14:bevel/>
          </w14:textOutline>
        </w:rPr>
        <w:tab/>
        <w:t>10 * 15 000</w:t>
      </w:r>
      <w:r w:rsidRPr="004A6755">
        <w:rPr>
          <w:rFonts w:ascii="Arial" w:hAnsi="Arial" w:cs="Arial"/>
          <w:sz w:val="18"/>
          <w:szCs w:val="18"/>
          <w:lang w:val="fi-FI" w:eastAsia="fi-FI"/>
          <w14:textOutline w14:w="9525" w14:cap="rnd" w14:cmpd="sng" w14:algn="ctr">
            <w14:noFill/>
            <w14:prstDash w14:val="solid"/>
            <w14:bevel/>
          </w14:textOutline>
        </w:rPr>
        <w:tab/>
      </w:r>
      <w:r w:rsidRPr="004A6755">
        <w:rPr>
          <w:rFonts w:ascii="Arial" w:hAnsi="Arial" w:cs="Arial"/>
          <w:sz w:val="18"/>
          <w:szCs w:val="18"/>
          <w:lang w:val="fi-FI" w:eastAsia="fi-FI"/>
          <w14:textOutline w14:w="9525" w14:cap="rnd" w14:cmpd="sng" w14:algn="ctr">
            <w14:noFill/>
            <w14:prstDash w14:val="solid"/>
            <w14:bevel/>
          </w14:textOutline>
        </w:rPr>
        <w:tab/>
      </w:r>
      <w:r w:rsidRPr="004A6755">
        <w:rPr>
          <w:rFonts w:ascii="Arial" w:hAnsi="Arial" w:cs="Arial"/>
          <w:sz w:val="18"/>
          <w:szCs w:val="18"/>
          <w:lang w:val="fi-FI" w:eastAsia="fi-FI"/>
          <w14:textOutline w14:w="9525" w14:cap="rnd" w14:cmpd="sng" w14:algn="ctr">
            <w14:noFill/>
            <w14:prstDash w14:val="solid"/>
            <w14:bevel/>
          </w14:textOutline>
        </w:rPr>
        <w:tab/>
      </w:r>
      <w:r w:rsidRPr="004A6755">
        <w:rPr>
          <w:rFonts w:ascii="Arial" w:hAnsi="Arial" w:cs="Arial"/>
          <w:sz w:val="18"/>
          <w:szCs w:val="18"/>
          <w:lang w:val="fi-FI" w:eastAsia="fi-FI"/>
          <w14:textOutline w14:w="9525" w14:cap="rnd" w14:cmpd="sng" w14:algn="ctr">
            <w14:noFill/>
            <w14:prstDash w14:val="solid"/>
            <w14:bevel/>
          </w14:textOutline>
        </w:rPr>
        <w:tab/>
      </w:r>
      <w:r w:rsidR="006F2C2D">
        <w:rPr>
          <w:rFonts w:ascii="Arial" w:hAnsi="Arial" w:cs="Arial"/>
          <w:sz w:val="18"/>
          <w:szCs w:val="18"/>
          <w:lang w:val="fi-FI" w:eastAsia="fi-FI"/>
          <w14:textOutline w14:w="9525" w14:cap="rnd" w14:cmpd="sng" w14:algn="ctr">
            <w14:noFill/>
            <w14:prstDash w14:val="solid"/>
            <w14:bevel/>
          </w14:textOutline>
        </w:rPr>
        <w:tab/>
        <w:t>15</w:t>
      </w:r>
      <w:r w:rsidRPr="004A6755">
        <w:rPr>
          <w:rFonts w:ascii="Arial" w:hAnsi="Arial" w:cs="Arial"/>
          <w:sz w:val="18"/>
          <w:szCs w:val="18"/>
          <w:lang w:val="fi-FI" w:eastAsia="fi-FI"/>
          <w14:textOutline w14:w="9525" w14:cap="rnd" w14:cmpd="sng" w14:algn="ctr">
            <w14:noFill/>
            <w14:prstDash w14:val="solid"/>
            <w14:bevel/>
          </w14:textOutline>
        </w:rPr>
        <w:t>0 000</w:t>
      </w:r>
    </w:p>
    <w:p w14:paraId="0562CB0E" w14:textId="77777777" w:rsidR="004B7E87" w:rsidRPr="004A6755" w:rsidRDefault="004B7E87" w:rsidP="004A6755">
      <w:pPr>
        <w:pBdr>
          <w:top w:val="single" w:sz="4" w:space="1" w:color="auto"/>
          <w:left w:val="single" w:sz="4" w:space="3" w:color="auto"/>
          <w:bottom w:val="single" w:sz="4" w:space="1" w:color="auto"/>
          <w:right w:val="single" w:sz="4" w:space="4" w:color="auto"/>
        </w:pBdr>
        <w:suppressAutoHyphens/>
        <w:spacing w:after="20"/>
        <w:jc w:val="both"/>
        <w:rPr>
          <w:rFonts w:ascii="Arial" w:hAnsi="Arial" w:cs="Arial"/>
          <w:sz w:val="18"/>
          <w:szCs w:val="18"/>
          <w:lang w:val="fi-FI" w:eastAsia="fi-FI"/>
          <w14:textOutline w14:w="9525" w14:cap="rnd" w14:cmpd="sng" w14:algn="ctr">
            <w14:noFill/>
            <w14:prstDash w14:val="solid"/>
            <w14:bevel/>
          </w14:textOutline>
        </w:rPr>
      </w:pPr>
    </w:p>
    <w:p w14:paraId="10E6832A" w14:textId="26ACAB3C" w:rsidR="004B7E87" w:rsidRPr="004A6755" w:rsidRDefault="004A6755" w:rsidP="004A6755">
      <w:pPr>
        <w:pBdr>
          <w:top w:val="single" w:sz="4" w:space="1" w:color="auto"/>
          <w:left w:val="single" w:sz="4" w:space="3" w:color="auto"/>
          <w:bottom w:val="single" w:sz="4" w:space="1" w:color="auto"/>
          <w:right w:val="single" w:sz="4" w:space="4" w:color="auto"/>
        </w:pBdr>
        <w:suppressAutoHyphens/>
        <w:spacing w:after="20"/>
        <w:jc w:val="both"/>
        <w:rPr>
          <w:rFonts w:ascii="Arial" w:hAnsi="Arial" w:cs="Arial"/>
          <w:sz w:val="18"/>
          <w:szCs w:val="18"/>
          <w:lang w:val="fi-FI" w:eastAsia="fi-FI"/>
          <w14:textOutline w14:w="9525" w14:cap="rnd" w14:cmpd="sng" w14:algn="ctr">
            <w14:noFill/>
            <w14:prstDash w14:val="solid"/>
            <w14:bevel/>
          </w14:textOutline>
        </w:rPr>
      </w:pPr>
      <w:r w:rsidRPr="004A6755">
        <w:rPr>
          <w:rFonts w:ascii="Arial" w:hAnsi="Arial" w:cs="Arial"/>
          <w:sz w:val="18"/>
          <w:szCs w:val="18"/>
          <w:lang w:val="fi-FI" w:eastAsia="fi-FI"/>
          <w14:textOutline w14:w="9525" w14:cap="rnd" w14:cmpd="sng" w14:algn="ctr">
            <w14:noFill/>
            <w14:prstDash w14:val="solid"/>
            <w14:bevel/>
          </w14:textOutline>
        </w:rPr>
        <w:t>Lainanottovaltuus</w:t>
      </w:r>
      <w:r w:rsidRPr="004A6755">
        <w:rPr>
          <w:rFonts w:ascii="Arial" w:hAnsi="Arial" w:cs="Arial"/>
          <w:sz w:val="18"/>
          <w:szCs w:val="18"/>
          <w:lang w:val="fi-FI" w:eastAsia="fi-FI"/>
          <w14:textOutline w14:w="9525" w14:cap="rnd" w14:cmpd="sng" w14:algn="ctr">
            <w14:noFill/>
            <w14:prstDash w14:val="solid"/>
            <w14:bevel/>
          </w14:textOutline>
        </w:rPr>
        <w:tab/>
      </w:r>
      <w:r w:rsidRPr="004A6755">
        <w:rPr>
          <w:rFonts w:ascii="Arial" w:hAnsi="Arial" w:cs="Arial"/>
          <w:sz w:val="18"/>
          <w:szCs w:val="18"/>
          <w:lang w:val="fi-FI" w:eastAsia="fi-FI"/>
          <w14:textOutline w14:w="9525" w14:cap="rnd" w14:cmpd="sng" w14:algn="ctr">
            <w14:noFill/>
            <w14:prstDash w14:val="solid"/>
            <w14:bevel/>
          </w14:textOutline>
        </w:rPr>
        <w:tab/>
        <w:t>1</w:t>
      </w:r>
      <w:r w:rsidR="006F2C2D">
        <w:rPr>
          <w:rFonts w:ascii="Arial" w:hAnsi="Arial" w:cs="Arial"/>
          <w:sz w:val="18"/>
          <w:szCs w:val="18"/>
          <w:lang w:val="fi-FI" w:eastAsia="fi-FI"/>
          <w14:textOutline w14:w="9525" w14:cap="rnd" w14:cmpd="sng" w14:algn="ctr">
            <w14:noFill/>
            <w14:prstDash w14:val="solid"/>
            <w14:bevel/>
          </w14:textOutline>
        </w:rPr>
        <w:t>5</w:t>
      </w:r>
      <w:r w:rsidRPr="004A6755">
        <w:rPr>
          <w:rFonts w:ascii="Arial" w:hAnsi="Arial" w:cs="Arial"/>
          <w:sz w:val="18"/>
          <w:szCs w:val="18"/>
          <w:lang w:val="fi-FI" w:eastAsia="fi-FI"/>
          <w14:textOutline w14:w="9525" w14:cap="rnd" w14:cmpd="sng" w14:algn="ctr">
            <w14:noFill/>
            <w14:prstDash w14:val="solid"/>
            <w14:bevel/>
          </w14:textOutline>
        </w:rPr>
        <w:t>0 000 – 30 000</w:t>
      </w:r>
      <w:r w:rsidRPr="004A6755">
        <w:rPr>
          <w:rFonts w:ascii="Arial" w:hAnsi="Arial" w:cs="Arial"/>
          <w:sz w:val="18"/>
          <w:szCs w:val="18"/>
          <w:lang w:val="fi-FI" w:eastAsia="fi-FI"/>
          <w14:textOutline w14:w="9525" w14:cap="rnd" w14:cmpd="sng" w14:algn="ctr">
            <w14:noFill/>
            <w14:prstDash w14:val="solid"/>
            <w14:bevel/>
          </w14:textOutline>
        </w:rPr>
        <w:tab/>
      </w:r>
      <w:r w:rsidRPr="004A6755">
        <w:rPr>
          <w:rFonts w:ascii="Arial" w:hAnsi="Arial" w:cs="Arial"/>
          <w:sz w:val="18"/>
          <w:szCs w:val="18"/>
          <w:lang w:val="fi-FI" w:eastAsia="fi-FI"/>
          <w14:textOutline w14:w="9525" w14:cap="rnd" w14:cmpd="sng" w14:algn="ctr">
            <w14:noFill/>
            <w14:prstDash w14:val="solid"/>
            <w14:bevel/>
          </w14:textOutline>
        </w:rPr>
        <w:tab/>
      </w:r>
      <w:r w:rsidRPr="004A6755">
        <w:rPr>
          <w:rFonts w:ascii="Arial" w:hAnsi="Arial" w:cs="Arial"/>
          <w:sz w:val="18"/>
          <w:szCs w:val="18"/>
          <w:lang w:val="fi-FI" w:eastAsia="fi-FI"/>
          <w14:textOutline w14:w="9525" w14:cap="rnd" w14:cmpd="sng" w14:algn="ctr">
            <w14:noFill/>
            <w14:prstDash w14:val="solid"/>
            <w14:bevel/>
          </w14:textOutline>
        </w:rPr>
        <w:tab/>
      </w:r>
      <w:r w:rsidRPr="004A6755">
        <w:rPr>
          <w:rFonts w:ascii="Arial" w:hAnsi="Arial" w:cs="Arial"/>
          <w:sz w:val="18"/>
          <w:szCs w:val="18"/>
          <w:lang w:val="fi-FI" w:eastAsia="fi-FI"/>
          <w14:textOutline w14:w="9525" w14:cap="rnd" w14:cmpd="sng" w14:algn="ctr">
            <w14:noFill/>
            <w14:prstDash w14:val="solid"/>
            <w14:bevel/>
          </w14:textOutline>
        </w:rPr>
        <w:tab/>
      </w:r>
      <w:r w:rsidRPr="004A6755">
        <w:rPr>
          <w:rFonts w:ascii="Arial" w:hAnsi="Arial" w:cs="Arial"/>
          <w:sz w:val="18"/>
          <w:szCs w:val="18"/>
          <w:lang w:val="fi-FI" w:eastAsia="fi-FI"/>
          <w14:textOutline w14:w="9525" w14:cap="rnd" w14:cmpd="sng" w14:algn="ctr">
            <w14:noFill/>
            <w14:prstDash w14:val="solid"/>
            <w14:bevel/>
          </w14:textOutline>
        </w:rPr>
        <w:tab/>
      </w:r>
      <w:r w:rsidR="006F2C2D">
        <w:rPr>
          <w:rFonts w:ascii="Arial" w:hAnsi="Arial" w:cs="Arial"/>
          <w:sz w:val="18"/>
          <w:szCs w:val="18"/>
          <w:lang w:val="fi-FI" w:eastAsia="fi-FI"/>
          <w14:textOutline w14:w="9525" w14:cap="rnd" w14:cmpd="sng" w14:algn="ctr">
            <w14:noFill/>
            <w14:prstDash w14:val="solid"/>
            <w14:bevel/>
          </w14:textOutline>
        </w:rPr>
        <w:t>12</w:t>
      </w:r>
      <w:r w:rsidRPr="004A6755">
        <w:rPr>
          <w:rFonts w:ascii="Arial" w:hAnsi="Arial" w:cs="Arial"/>
          <w:sz w:val="18"/>
          <w:szCs w:val="18"/>
          <w:lang w:val="fi-FI" w:eastAsia="fi-FI"/>
          <w14:textOutline w14:w="9525" w14:cap="rnd" w14:cmpd="sng" w14:algn="ctr">
            <w14:noFill/>
            <w14:prstDash w14:val="solid"/>
            <w14:bevel/>
          </w14:textOutline>
        </w:rPr>
        <w:t>0 000</w:t>
      </w:r>
      <w:r w:rsidRPr="004A6755">
        <w:rPr>
          <w:rFonts w:ascii="Arial" w:hAnsi="Arial" w:cs="Arial"/>
          <w:sz w:val="18"/>
          <w:szCs w:val="18"/>
          <w:lang w:val="fi-FI" w:eastAsia="fi-FI"/>
          <w14:textOutline w14:w="9525" w14:cap="rnd" w14:cmpd="sng" w14:algn="ctr">
            <w14:noFill/>
            <w14:prstDash w14:val="solid"/>
            <w14:bevel/>
          </w14:textOutline>
        </w:rPr>
        <w:tab/>
      </w:r>
      <w:r w:rsidRPr="004A6755">
        <w:rPr>
          <w:rFonts w:ascii="Arial" w:hAnsi="Arial" w:cs="Arial"/>
          <w:sz w:val="18"/>
          <w:szCs w:val="18"/>
          <w:lang w:val="fi-FI" w:eastAsia="fi-FI"/>
          <w14:textOutline w14:w="9525" w14:cap="rnd" w14:cmpd="sng" w14:algn="ctr">
            <w14:noFill/>
            <w14:prstDash w14:val="solid"/>
            <w14:bevel/>
          </w14:textOutline>
        </w:rPr>
        <w:tab/>
      </w:r>
    </w:p>
    <w:p w14:paraId="6ABC71E0" w14:textId="77777777" w:rsidR="004A6755" w:rsidRDefault="004A6755" w:rsidP="004A6755">
      <w:pPr>
        <w:pStyle w:val="Otsikko2"/>
      </w:pPr>
      <w:bookmarkStart w:id="19" w:name="_Toc137645922"/>
      <w:r w:rsidRPr="004A6755">
        <w:t>4.2 Poikkeuksellinen lainanottovaltuus</w:t>
      </w:r>
      <w:bookmarkEnd w:id="19"/>
    </w:p>
    <w:p w14:paraId="0A3CBEDC" w14:textId="77777777" w:rsidR="004A6755" w:rsidRDefault="004A6755" w:rsidP="004A6755">
      <w:pPr>
        <w:pStyle w:val="Leipteksti"/>
        <w:rPr>
          <w:lang w:eastAsia="en-US"/>
        </w:rPr>
      </w:pPr>
      <w:r>
        <w:rPr>
          <w:lang w:eastAsia="en-US"/>
        </w:rPr>
        <w:t xml:space="preserve">Poikkeuksellinen lisälainanottovaltuus myönnetään, jos investointitarve on välttämätön laissa säädettyjen palvelujen turvaamiseksi. </w:t>
      </w:r>
    </w:p>
    <w:p w14:paraId="51925481" w14:textId="77777777" w:rsidR="004A6755" w:rsidRDefault="004A6755" w:rsidP="004A6755">
      <w:pPr>
        <w:pStyle w:val="Leipteksti"/>
        <w:rPr>
          <w:lang w:eastAsia="en-US"/>
        </w:rPr>
      </w:pPr>
      <w:r>
        <w:rPr>
          <w:lang w:eastAsia="en-US"/>
        </w:rPr>
        <w:t xml:space="preserve">Valtioneuvosto muuttaa hyvinvointialueen lainanottovaltuutta, jos investointi on välttämätön hyvinvointialueen järjestämisvastuulle kuuluvien palvelujen tuottamisen jatkuvuuden kannalta tai lainsäädännössä edellytettyjen palvelujen turvaamiseksi eikä investointitarvetta voida kattaa muulla tavoin. </w:t>
      </w:r>
    </w:p>
    <w:p w14:paraId="0C36639A" w14:textId="77777777" w:rsidR="004A6755" w:rsidRDefault="004A6755" w:rsidP="004A6755">
      <w:pPr>
        <w:pStyle w:val="Leipteksti"/>
        <w:rPr>
          <w:lang w:eastAsia="en-US"/>
        </w:rPr>
      </w:pPr>
      <w:r>
        <w:rPr>
          <w:lang w:eastAsia="en-US"/>
        </w:rPr>
        <w:t>Kyse voi olla sellaisista olosuhteista, joihin ei ole voitu varautua ja joissa palvelut vaarantuvat ulkoisten tekijöiden johdosta, kuten sairaalakiinteistön äkillisessä vahingoittumisessa tai asettamisessa käyttökieltoon taikka johtuen äkillisestä palvelutarpeen muutoksesta. Poikkeuksellinen lisälainanottovaltuus voi koskea investointeja, joihin ei ole voitu varautua hyvinvointialueen investointisuunnitelmissa ja joita ei ole mahdollista rahoittaa jo hyväksytyn lainanottovaltuuden puitteissa, muuttamalla hyvinvointialueen investointisuunnitelmaa tai esimerkiksi hyvinvointialueen omilla varoilla. Poikkeuksellista investointitarvetta arvioitaessa hyvinvointialueen tulee selvittää myös, voidaanko rahoitustarve kattaa muilla tavoin, kuten tiloja vuokraamalla tai hyvinvointialueiden välisellä yhteistyöllä.</w:t>
      </w:r>
    </w:p>
    <w:p w14:paraId="6374245F" w14:textId="77777777" w:rsidR="004A6755" w:rsidRDefault="004A6755" w:rsidP="004A6755">
      <w:pPr>
        <w:pStyle w:val="Leipteksti"/>
        <w:rPr>
          <w:lang w:eastAsia="en-US"/>
        </w:rPr>
      </w:pPr>
      <w:r>
        <w:rPr>
          <w:lang w:eastAsia="en-US"/>
        </w:rPr>
        <w:t xml:space="preserve">Lainanottovaltuuden muuttamisesta voidaan päättää hyvinvointialueen hakemuksesta tai valtiovarainministeriön, </w:t>
      </w:r>
      <w:proofErr w:type="spellStart"/>
      <w:r>
        <w:rPr>
          <w:lang w:eastAsia="en-US"/>
        </w:rPr>
        <w:t>sosiaali</w:t>
      </w:r>
      <w:proofErr w:type="spellEnd"/>
      <w:r>
        <w:rPr>
          <w:lang w:eastAsia="en-US"/>
        </w:rPr>
        <w:t>- ja terveysministeriön tai sisäministeriön aloitteesta. Lainanottovaltuuden muuttamisen valmistelussa tulee pyrkiä siihen, että hyvinvointialueen laatiessa investointisuunnitelmaansa sillä olisi tiedossa käytettävissään oleva lainanottovaltuus.</w:t>
      </w:r>
    </w:p>
    <w:p w14:paraId="5E7E44AB" w14:textId="77777777" w:rsidR="004A6755" w:rsidRDefault="004A6755" w:rsidP="004A6755">
      <w:pPr>
        <w:pStyle w:val="Leipteksti"/>
        <w:rPr>
          <w:lang w:eastAsia="en-US"/>
        </w:rPr>
      </w:pPr>
      <w:r>
        <w:rPr>
          <w:lang w:eastAsia="en-US"/>
        </w:rPr>
        <w:t xml:space="preserve">Sääntelyllä varmistetaan riittävien </w:t>
      </w:r>
      <w:proofErr w:type="spellStart"/>
      <w:r>
        <w:rPr>
          <w:lang w:eastAsia="en-US"/>
        </w:rPr>
        <w:t>sosiaali</w:t>
      </w:r>
      <w:proofErr w:type="spellEnd"/>
      <w:r>
        <w:rPr>
          <w:lang w:eastAsia="en-US"/>
        </w:rPr>
        <w:t>- ja terveyspalvelujen sekä pelastustoimen palvelujen turvaamista kaikissa tilanteissa sekä valtion vastuun toteutumista perusoikeuksien ja ihmisoikeuksien turvaamisessa. Näihin tilanteisiin voi liittyä myös sellaisia kustannuksia, jotka voivat olla hyvinvointialueen lisärahoituksen perusteena, ellei hyvinvointialueen palvelujen järjestämistä ole saatavissa olevalla rahoituksella muutoin mahdollista turvata. Kaikkein kiireellisimmissä tilanteissa hyvinvointialue voisi käyttää rahavarojen ohella lyhytaikaista lainaa.</w:t>
      </w:r>
    </w:p>
    <w:p w14:paraId="0A43E2A1" w14:textId="77777777" w:rsidR="004A6755" w:rsidRDefault="004A6755" w:rsidP="004A6755">
      <w:pPr>
        <w:pStyle w:val="Leipteksti"/>
        <w:rPr>
          <w:lang w:eastAsia="en-US"/>
        </w:rPr>
      </w:pPr>
      <w:r>
        <w:rPr>
          <w:lang w:eastAsia="en-US"/>
        </w:rPr>
        <w:lastRenderedPageBreak/>
        <w:t xml:space="preserve">Valtiovarainministeriö asettaa hyvinvointialueesta annetun lain 15 §:n 3 momentissa tarkoitetun päätöksen valmistelua varten valmisteluryhmän, johon valtiovarainministeriö, </w:t>
      </w:r>
      <w:proofErr w:type="spellStart"/>
      <w:r>
        <w:rPr>
          <w:lang w:eastAsia="en-US"/>
        </w:rPr>
        <w:t>sosiaali</w:t>
      </w:r>
      <w:proofErr w:type="spellEnd"/>
      <w:r>
        <w:rPr>
          <w:lang w:eastAsia="en-US"/>
        </w:rPr>
        <w:t>- ja terveysministeriö ja sisäministeriö sekä asianomainen hyvinvointialue nimeävät edustajansa. Valmisteluryhmän tehtävänä on arvioida lainanottovaltuuden muuttamisen edellytyksiä, tarvittavan lainanottovaltuuden suuruutta sekä hyvinvointialueelle asetettavia ehtoja. Arviointi perustuu hyvinvointialueen taloutta ja toimintaa koskevan tiedon perusteella tehtyyn kokonaisarvioon.</w:t>
      </w:r>
    </w:p>
    <w:p w14:paraId="48E7577F" w14:textId="77777777" w:rsidR="004A6755" w:rsidRDefault="004A6755" w:rsidP="004A6755">
      <w:pPr>
        <w:pStyle w:val="Leipteksti"/>
        <w:rPr>
          <w:lang w:eastAsia="en-US"/>
        </w:rPr>
      </w:pPr>
      <w:r>
        <w:rPr>
          <w:lang w:eastAsia="en-US"/>
        </w:rPr>
        <w:t>Lisälainanottovaltuus johtaisi siihen, että hyvinvointialue velkaantuisi enemmän kuin sillä olisi lainanhoitokykyä ja sen edellytykset selvitä sen järjestämisvastuulla olevista tehtävistä voisivat vaarantua. Myönnetty lisälainanottovaltuus on yksi hyvinvointialueen arviointimenettelyn käynnistämisen kriteereistä.</w:t>
      </w:r>
    </w:p>
    <w:p w14:paraId="5F790900" w14:textId="77777777" w:rsidR="004A6755" w:rsidRPr="004A6755" w:rsidRDefault="004A6755" w:rsidP="004A6755">
      <w:pPr>
        <w:pStyle w:val="Leipteksti"/>
        <w:rPr>
          <w:lang w:eastAsia="en-US"/>
        </w:rPr>
      </w:pPr>
      <w:r>
        <w:rPr>
          <w:lang w:eastAsia="en-US"/>
        </w:rPr>
        <w:t>Arviointimenettelyssä voidaan asettaa ehtoja hyvinvointialueen toiminnan ja talouden osalta, esimerkiksi kustannusten vähentämisen muodossa.</w:t>
      </w:r>
    </w:p>
    <w:p w14:paraId="50E7BE42" w14:textId="77777777" w:rsidR="004A6755" w:rsidRPr="00397113" w:rsidRDefault="004A6755" w:rsidP="00D354E2">
      <w:pPr>
        <w:pStyle w:val="Otsikko1"/>
        <w:keepNext/>
        <w:keepLines/>
        <w:numPr>
          <w:ilvl w:val="0"/>
          <w:numId w:val="9"/>
        </w:numPr>
        <w:suppressAutoHyphens w:val="0"/>
        <w:spacing w:before="480" w:after="20" w:line="240" w:lineRule="auto"/>
        <w:ind w:left="0" w:firstLine="0"/>
        <w:jc w:val="both"/>
        <w:rPr>
          <w:rFonts w:cs="Arial"/>
        </w:rPr>
      </w:pPr>
      <w:bookmarkStart w:id="20" w:name="_Toc106286998"/>
      <w:bookmarkStart w:id="21" w:name="_Toc137645923"/>
      <w:r w:rsidRPr="00397113">
        <w:rPr>
          <w:rFonts w:cs="Arial"/>
        </w:rPr>
        <w:t>Investointiryhmittäin huomioitavaa</w:t>
      </w:r>
      <w:bookmarkEnd w:id="20"/>
      <w:bookmarkEnd w:id="21"/>
      <w:r w:rsidRPr="00397113">
        <w:rPr>
          <w:rFonts w:cs="Arial"/>
        </w:rPr>
        <w:t xml:space="preserve"> </w:t>
      </w:r>
    </w:p>
    <w:p w14:paraId="709FB1B7" w14:textId="77777777" w:rsidR="004A6755" w:rsidRDefault="004A6755" w:rsidP="004A6755">
      <w:pPr>
        <w:pStyle w:val="Otsikko2"/>
      </w:pPr>
      <w:bookmarkStart w:id="22" w:name="_Toc137645924"/>
      <w:r w:rsidRPr="004A6755">
        <w:t>5.1 Tilainvestoinnit</w:t>
      </w:r>
      <w:bookmarkEnd w:id="22"/>
    </w:p>
    <w:p w14:paraId="4AFD6F39" w14:textId="77777777" w:rsidR="004A6755" w:rsidRDefault="004A6755" w:rsidP="004A6755">
      <w:pPr>
        <w:pStyle w:val="Leipteksti"/>
        <w:rPr>
          <w:lang w:eastAsia="en-US"/>
        </w:rPr>
      </w:pPr>
      <w:r>
        <w:rPr>
          <w:lang w:eastAsia="en-US"/>
        </w:rPr>
        <w:t xml:space="preserve">Keskeisinä tilainvestointeihin vaikuttavina muutosajureina voidaan nähdä väestömuutoksiin liittyvä palvelutarpeen muutos, </w:t>
      </w:r>
      <w:proofErr w:type="spellStart"/>
      <w:r>
        <w:rPr>
          <w:lang w:eastAsia="en-US"/>
        </w:rPr>
        <w:t>digitalisaatio</w:t>
      </w:r>
      <w:proofErr w:type="spellEnd"/>
      <w:r>
        <w:rPr>
          <w:lang w:eastAsia="en-US"/>
        </w:rPr>
        <w:t xml:space="preserve"> sekä teknologian kehittyminen sekä toimintamallien kehittyminen, mikä useassa tapauksessa muuttaa annettavan palvelun sisältöä tai toteuttamistapaa aiemmasta. </w:t>
      </w:r>
    </w:p>
    <w:p w14:paraId="4B2AD169" w14:textId="77777777" w:rsidR="004A6755" w:rsidRDefault="004A6755" w:rsidP="004A6755">
      <w:pPr>
        <w:pStyle w:val="Leipteksti"/>
        <w:rPr>
          <w:lang w:eastAsia="en-US"/>
        </w:rPr>
      </w:pPr>
      <w:r>
        <w:rPr>
          <w:lang w:eastAsia="en-US"/>
        </w:rPr>
        <w:t>Palvelutarpeen osalta keskeisimmät vaikutukset syntyvät väestökehityksen ja sen kohdentumisen myötä (alueellinen, sisällöllinen), Tarkasteluun tulevat tällöin alueen yksiköt, palvelujen yhdistämismahdollisuudet, sisällöllisesti muuttuvat palvelutarpeet, maakunta- ja yhteistyöaluetason palveluverkkosuunnitelmat sekä alueiden yhteistyömahdollisuudet</w:t>
      </w:r>
    </w:p>
    <w:p w14:paraId="3035BFE6" w14:textId="77777777" w:rsidR="004A6755" w:rsidRDefault="004A6755" w:rsidP="004A6755">
      <w:pPr>
        <w:pStyle w:val="Leipteksti"/>
        <w:rPr>
          <w:lang w:eastAsia="en-US"/>
        </w:rPr>
      </w:pPr>
      <w:proofErr w:type="spellStart"/>
      <w:r>
        <w:rPr>
          <w:lang w:eastAsia="en-US"/>
        </w:rPr>
        <w:t>Digitalisaation</w:t>
      </w:r>
      <w:proofErr w:type="spellEnd"/>
      <w:r>
        <w:rPr>
          <w:lang w:eastAsia="en-US"/>
        </w:rPr>
        <w:t xml:space="preserve"> ja teknologian kehittymisen myötä palveluja on mahdollista toteuttaa kokonaan uusilla tavoilla, jolloin palveluja on mahdollista siirtää kokonaan sairaaloista esimerkiksi etänä toteutettaviksi. Uudet asiointitavat, ja etähoidon kehittyminen luovat kokonaan uusia mahdollisuuksia, mikä tulee tilojen suunnittelussa ottaa huomioon. </w:t>
      </w:r>
      <w:proofErr w:type="spellStart"/>
      <w:r>
        <w:rPr>
          <w:lang w:eastAsia="en-US"/>
        </w:rPr>
        <w:t>Digitalisaatio</w:t>
      </w:r>
      <w:proofErr w:type="spellEnd"/>
      <w:r>
        <w:rPr>
          <w:lang w:eastAsia="en-US"/>
        </w:rPr>
        <w:t xml:space="preserve"> avaa myös pelastustoimelle uusia mahdollisuuksia palvelujen toteuttamiselle.</w:t>
      </w:r>
    </w:p>
    <w:p w14:paraId="24762379" w14:textId="77777777" w:rsidR="004A6755" w:rsidRDefault="004A6755" w:rsidP="004A6755">
      <w:pPr>
        <w:pStyle w:val="Leipteksti"/>
        <w:rPr>
          <w:lang w:eastAsia="en-US"/>
        </w:rPr>
      </w:pPr>
      <w:r>
        <w:rPr>
          <w:lang w:eastAsia="en-US"/>
        </w:rPr>
        <w:t>Toimintamallien muutoksen osalta selkeänä muutosajurina on nähtävissä avohoitopainotteisuuden lisääntyminen, yhä enemmän asioita voidaan hoitaa ilman sairaalavuodeosastoa, liikkuvan palvelun avulla apu voidaan tuoda asiakkaan luo, sen sijaan että asiakas matkustaisi hoitolaitokseen, millä on vaikutusta tilojen tarpeeseen.</w:t>
      </w:r>
    </w:p>
    <w:p w14:paraId="4B031CC7" w14:textId="77777777" w:rsidR="004A6755" w:rsidRDefault="004A6755" w:rsidP="004A6755">
      <w:pPr>
        <w:pStyle w:val="Leipteksti"/>
        <w:rPr>
          <w:lang w:eastAsia="en-US"/>
        </w:rPr>
      </w:pPr>
      <w:proofErr w:type="spellStart"/>
      <w:r>
        <w:rPr>
          <w:lang w:eastAsia="en-US"/>
        </w:rPr>
        <w:t>Sosiaali</w:t>
      </w:r>
      <w:proofErr w:type="spellEnd"/>
      <w:r>
        <w:rPr>
          <w:lang w:eastAsia="en-US"/>
        </w:rPr>
        <w:t xml:space="preserve">- ja terveydenhuollon kiinteistöinvestointien arviointikriteerejä ja menetelmiä koskien on valmistunut TEAS-hankkeen raportti </w:t>
      </w:r>
      <w:hyperlink r:id="rId12" w:history="1">
        <w:r w:rsidRPr="00004B5C">
          <w:rPr>
            <w:rStyle w:val="Hyperlinkki"/>
            <w:lang w:eastAsia="en-US"/>
          </w:rPr>
          <w:t>https://julkaisut.valtioneuvosto.fi/bitstream/handle/10024/163762/VNTEAS_2022_6.pdf?sequence=1&amp;isAllo</w:t>
        </w:r>
        <w:r w:rsidRPr="00004B5C">
          <w:rPr>
            <w:rStyle w:val="Hyperlinkki"/>
            <w:lang w:eastAsia="en-US"/>
          </w:rPr>
          <w:lastRenderedPageBreak/>
          <w:t>wed=y</w:t>
        </w:r>
      </w:hyperlink>
      <w:r>
        <w:rPr>
          <w:lang w:eastAsia="en-US"/>
        </w:rPr>
        <w:t xml:space="preserve"> </w:t>
      </w:r>
      <w:r w:rsidRPr="004A6755">
        <w:rPr>
          <w:lang w:eastAsia="en-US"/>
        </w:rPr>
        <w:t>(Sote-kiinteistöinvestointien arviointikriteerit ja -menetelmät) jonka tulokset ovat hyvinvointialueiden hyödynnettävissä.</w:t>
      </w:r>
    </w:p>
    <w:p w14:paraId="6B655BA6" w14:textId="77777777" w:rsidR="004A6755" w:rsidRDefault="004A6755" w:rsidP="004A6755">
      <w:pPr>
        <w:pStyle w:val="Leipteksti"/>
        <w:rPr>
          <w:lang w:eastAsia="en-US"/>
        </w:rPr>
      </w:pPr>
      <w:r>
        <w:rPr>
          <w:lang w:eastAsia="en-US"/>
        </w:rPr>
        <w:t xml:space="preserve">Pelastustoimen palvelut eroavat </w:t>
      </w:r>
      <w:proofErr w:type="spellStart"/>
      <w:r>
        <w:rPr>
          <w:lang w:eastAsia="en-US"/>
        </w:rPr>
        <w:t>sosiaali</w:t>
      </w:r>
      <w:proofErr w:type="spellEnd"/>
      <w:r>
        <w:rPr>
          <w:lang w:eastAsia="en-US"/>
        </w:rPr>
        <w:t>- ja terveydenhuollon palveluista siinä, että lähes kaikki pelastustoimen palvelut viedään asiakkaan luo (pelastustoiminta onnettomuustilanteissa) tai tuotetaan asiakkaan luona (palotarkastukset, turvallisuusviestintä, koulutus). Tämä edellyttää riittävän tiheää paloasemaverkkoa. Pelastustoimen toimintavalmiudella ja paloasemaverkostolla on suuri merkitys myös pelastustoimen hoitaman ensivasteen näkökulmasta.</w:t>
      </w:r>
    </w:p>
    <w:p w14:paraId="56A83587" w14:textId="77777777" w:rsidR="004A6755" w:rsidRDefault="004A6755" w:rsidP="004A6755">
      <w:pPr>
        <w:pStyle w:val="Leipteksti"/>
        <w:rPr>
          <w:lang w:eastAsia="en-US"/>
        </w:rPr>
      </w:pPr>
      <w:r>
        <w:rPr>
          <w:lang w:eastAsia="en-US"/>
        </w:rPr>
        <w:t>Valtakunnallisen toimitila- ja kiinteistöhallinnon osaamiskeskuksen (Laki hyvinvointialueesta 21 §) tehtävänä on ylläpitää hyvinvointialueiden yhteistä tilatietojärjestelmää ja siihen liittyviä palveluita. Yhteisellä tilatietojärjestelmällä taataan ajantasainen vertailutieto hyvinvointialueiden toimitiloista ja mahdollistetaan tarvittaessa yhdenmukainen vuokranmääritys. Tilatietojärjestelmä sisältää tiedot hyvinvointialueen hallinnassa olevista toimitiloista. Järjestelmän avulla ylläpidetään kiinteistökohtaisia tietoja esimerkiksi toimitilojen laajuudesta ja kuntoluokasta. Tietoja voidaan käyttää hyvinvointialueiden ja yhteistyöalueiden investointisuunnitelmia laadittaessa. Osaamiskeskuksen tehtävä liittyy siis toimitilahallintoon ja koskisi ensisijaisesti hyvinvointialueen omia tiloja. Lisäksi osaamiskeskuksella on velvollisuus antaa vuosittain hyvinvointialueille ja valtioneuvostolle selvitys hyvinvointialueiden tekemistä toimitiloja koskevista investointipäätöksistä ja niiden vaikutuksista hyvinvointialuetalouteen.</w:t>
      </w:r>
    </w:p>
    <w:p w14:paraId="4ACF16FF" w14:textId="77777777" w:rsidR="004A6755" w:rsidRDefault="004A6755" w:rsidP="004A6755">
      <w:pPr>
        <w:pStyle w:val="Leipteksti"/>
        <w:rPr>
          <w:lang w:eastAsia="en-US"/>
        </w:rPr>
      </w:pPr>
      <w:r>
        <w:rPr>
          <w:lang w:eastAsia="en-US"/>
        </w:rPr>
        <w:t>Lakipykälän toisessa momentissa asetetaan hyvinvointialueille ja niiden edellä mainituille tytäryhteisöille velvollisuus osaamiskeskuksen ylläpitämän yhteisen tilatietojärjestelmän käyttämiseen.</w:t>
      </w:r>
    </w:p>
    <w:p w14:paraId="140450AF" w14:textId="77777777" w:rsidR="004A6755" w:rsidRDefault="004A6755" w:rsidP="004A6755">
      <w:pPr>
        <w:pStyle w:val="Otsikko2"/>
      </w:pPr>
      <w:bookmarkStart w:id="23" w:name="_Toc137645925"/>
      <w:r w:rsidRPr="004A6755">
        <w:t>5.2 ICT-investoinnit</w:t>
      </w:r>
      <w:bookmarkEnd w:id="23"/>
    </w:p>
    <w:p w14:paraId="32A34566" w14:textId="77777777" w:rsidR="004A6755" w:rsidRDefault="004A6755" w:rsidP="004A6755">
      <w:pPr>
        <w:pStyle w:val="Leipteksti"/>
        <w:rPr>
          <w:lang w:eastAsia="en-US"/>
        </w:rPr>
      </w:pPr>
      <w:r>
        <w:rPr>
          <w:lang w:eastAsia="en-US"/>
        </w:rPr>
        <w:t>Hyvinvointialueiden investointisuunnitelmaan on sisällytettävä tiedot sellaisia tieto- ja viestintäteknisiä (ICT) ratkaisuja koskevista investoinneista, joilla on pitkäaikaisia ja merkittäviä taloudellisia tai toiminnallisia vaikutuk</w:t>
      </w:r>
      <w:r w:rsidR="00B9409F">
        <w:rPr>
          <w:lang w:eastAsia="en-US"/>
        </w:rPr>
        <w:t>sia hyvinvointialueen kannalta.</w:t>
      </w:r>
    </w:p>
    <w:p w14:paraId="3AA0A06A" w14:textId="77777777" w:rsidR="004A6755" w:rsidRDefault="004A6755" w:rsidP="004A6755">
      <w:pPr>
        <w:pStyle w:val="Leipteksti"/>
        <w:rPr>
          <w:lang w:eastAsia="en-US"/>
        </w:rPr>
      </w:pPr>
      <w:r>
        <w:rPr>
          <w:lang w:eastAsia="en-US"/>
        </w:rPr>
        <w:t xml:space="preserve">Taloudellisesti merkittävällä ICT-investoinnilla tarkoitetaan sellaista hanketta tai sellaisen hankkeen osaa, joka vaikuttaisi hyvinvointialueen talouteen pitkäaikaisesti olennaisella tavalla vaikuttamalla hyvinvointialueen mahdollisuuksiin toteuttaa muita </w:t>
      </w:r>
      <w:proofErr w:type="spellStart"/>
      <w:r>
        <w:rPr>
          <w:lang w:eastAsia="en-US"/>
        </w:rPr>
        <w:t>sosiaali</w:t>
      </w:r>
      <w:proofErr w:type="spellEnd"/>
      <w:r>
        <w:rPr>
          <w:lang w:eastAsia="en-US"/>
        </w:rPr>
        <w:t xml:space="preserve">- ja terveydenhuollon ja pelastustoimen hankkeita tai järjestää väestön tarpeenmukaiset </w:t>
      </w:r>
      <w:proofErr w:type="spellStart"/>
      <w:r>
        <w:rPr>
          <w:lang w:eastAsia="en-US"/>
        </w:rPr>
        <w:t>sosiaali</w:t>
      </w:r>
      <w:proofErr w:type="spellEnd"/>
      <w:r>
        <w:rPr>
          <w:lang w:eastAsia="en-US"/>
        </w:rPr>
        <w:t>- ja terveydenhuollo</w:t>
      </w:r>
      <w:r w:rsidR="00B9409F">
        <w:rPr>
          <w:lang w:eastAsia="en-US"/>
        </w:rPr>
        <w:t>n sekä pelastustoimen palvelut.</w:t>
      </w:r>
    </w:p>
    <w:p w14:paraId="291F6F27" w14:textId="77777777" w:rsidR="004A6755" w:rsidRDefault="004A6755" w:rsidP="004A6755">
      <w:pPr>
        <w:pStyle w:val="Leipteksti"/>
        <w:rPr>
          <w:lang w:eastAsia="en-US"/>
        </w:rPr>
      </w:pPr>
      <w:r>
        <w:rPr>
          <w:lang w:eastAsia="en-US"/>
        </w:rPr>
        <w:t xml:space="preserve">Toiminnallisesti merkittävällä ICT-investoinnilla tarkoitetaan sellaisen tieto- ja viestintä-teknisen ratkaisun hankintaa ja käyttöönottoa, jolla on vaikutuksia </w:t>
      </w:r>
      <w:proofErr w:type="spellStart"/>
      <w:r>
        <w:rPr>
          <w:lang w:eastAsia="en-US"/>
        </w:rPr>
        <w:t>sosiaali</w:t>
      </w:r>
      <w:proofErr w:type="spellEnd"/>
      <w:r>
        <w:rPr>
          <w:lang w:eastAsia="en-US"/>
        </w:rPr>
        <w:t>- ja terveydenhuollon toteuttamistapaan, saatavuuteen, saavutettavuuteen tai laatuun hyvin-vointialueella tai joka vaikuttaisi merkittävästi hyvinvointialueiden väliseen työnjakoon tai yhteistyöhön.</w:t>
      </w:r>
    </w:p>
    <w:p w14:paraId="22AE5C77" w14:textId="77777777" w:rsidR="004A6755" w:rsidRDefault="004A6755" w:rsidP="004A6755">
      <w:pPr>
        <w:pStyle w:val="Leipteksti"/>
        <w:rPr>
          <w:lang w:eastAsia="en-US"/>
        </w:rPr>
      </w:pPr>
      <w:r>
        <w:rPr>
          <w:lang w:eastAsia="en-US"/>
        </w:rPr>
        <w:t xml:space="preserve">Edellä mainittuja pitkäaikaisia ja merkittäviä vaikutuksia sisältävät ICT-investoinnit voivat olla esimerkiksi laajat asiakas- ja potilastietojärjestelmien, ICT-infrastruktuurin tai keskeisten digitaalisten asiointikanavien uudistaminen. </w:t>
      </w:r>
    </w:p>
    <w:p w14:paraId="6F438349" w14:textId="77777777" w:rsidR="004A6755" w:rsidRDefault="004A6755" w:rsidP="004A6755">
      <w:pPr>
        <w:pStyle w:val="Leipteksti"/>
        <w:rPr>
          <w:lang w:eastAsia="en-US"/>
        </w:rPr>
      </w:pPr>
      <w:r>
        <w:rPr>
          <w:lang w:eastAsia="en-US"/>
        </w:rPr>
        <w:lastRenderedPageBreak/>
        <w:t xml:space="preserve">Ministeriö arvioi investointisuunnitelmaan sisällytettyjä ICT-investointeja </w:t>
      </w:r>
      <w:proofErr w:type="spellStart"/>
      <w:r>
        <w:rPr>
          <w:lang w:eastAsia="en-US"/>
        </w:rPr>
        <w:t>sosiaali</w:t>
      </w:r>
      <w:proofErr w:type="spellEnd"/>
      <w:r>
        <w:rPr>
          <w:lang w:eastAsia="en-US"/>
        </w:rPr>
        <w:t>- ja terveydenhuollon järjestämisestä annetun lain (612/2021) 26 §:n 2 momentissa esitettyjen investointisuunnitelman hylkäämiskriteerien perusteella. ICT-investointi voidaan hylätä, mikäli se uhkaa hyvinvointialueen taloudellista kestävyyttä, on yhteen sopimaton hyvinvointialueiden yhteistyösopimuksen kanssa tai sen toteutustapa voidaan katsoa kustannustehottomaksi.</w:t>
      </w:r>
    </w:p>
    <w:p w14:paraId="35D3FC08" w14:textId="77777777" w:rsidR="004A6755" w:rsidRDefault="004A6755" w:rsidP="004A6755">
      <w:pPr>
        <w:pStyle w:val="Leipteksti"/>
        <w:rPr>
          <w:lang w:eastAsia="en-US"/>
        </w:rPr>
      </w:pPr>
      <w:r>
        <w:rPr>
          <w:lang w:eastAsia="en-US"/>
        </w:rPr>
        <w:t>Kustannustehokkuutta arvioitaessa huomioidaan yhtäältä esitetyn investoinnin kustannuksia suhteessa tavoiteltaviin hyötyihin sekä tätä koskevan arvion uskottavuutta. Toisaalta kustannustehokkuutta arvioidaan myös yhteistyöalueella tehtävän yhteistyön mahdollisuuksien sekä kansallisesti toteutettujen ICT-palvelujen hyödyntämisen näkökulmista. Investointi voidaan katsoa kustannustehottomaksi, mikäli se on päällekkäinen sellaisen jo olemassa olevan ja kansallisesti saatavilla olevan ratkaisun kanssa, jonka hyödyntäminen johtaisi toiminnallisesti samankaltaiseen lopputulemaan.</w:t>
      </w:r>
    </w:p>
    <w:p w14:paraId="7AD57A89" w14:textId="77777777" w:rsidR="004A6755" w:rsidRDefault="004A6755" w:rsidP="004A6755">
      <w:pPr>
        <w:pStyle w:val="Leipteksti"/>
        <w:rPr>
          <w:lang w:eastAsia="en-US"/>
        </w:rPr>
      </w:pPr>
      <w:r>
        <w:rPr>
          <w:lang w:eastAsia="en-US"/>
        </w:rPr>
        <w:t xml:space="preserve">Edellä mainittujen hylkäysperusteiden lisäksi ministeriö kiinnittää huomiota siihen, miten </w:t>
      </w:r>
      <w:proofErr w:type="spellStart"/>
      <w:r>
        <w:rPr>
          <w:lang w:eastAsia="en-US"/>
        </w:rPr>
        <w:t>sosiaali</w:t>
      </w:r>
      <w:proofErr w:type="spellEnd"/>
      <w:r>
        <w:rPr>
          <w:lang w:eastAsia="en-US"/>
        </w:rPr>
        <w:t>- ja terveydenhuollon kansalliset periaatteet toteutuvat kunkin ICT-investoinnin kohdalla</w:t>
      </w:r>
    </w:p>
    <w:p w14:paraId="0462E819" w14:textId="77777777" w:rsidR="004A6755" w:rsidRDefault="004A6755" w:rsidP="004A6755">
      <w:pPr>
        <w:pStyle w:val="Leipteksti"/>
        <w:rPr>
          <w:lang w:eastAsia="en-US"/>
        </w:rPr>
      </w:pPr>
      <w:r>
        <w:rPr>
          <w:lang w:eastAsia="en-US"/>
        </w:rPr>
        <w:t>Pitkäaikaisia ja merkittäviä taloudellisia tai toiminnallisia vaikutuksia omaavien ICT-investointien osalta hyvinvointialueen investointisuunnitelmaan on sisällytettävä seuraavat asiat:</w:t>
      </w:r>
    </w:p>
    <w:p w14:paraId="1CD39A2F" w14:textId="77777777" w:rsidR="004A6755" w:rsidRDefault="004A6755" w:rsidP="004A6755">
      <w:pPr>
        <w:pStyle w:val="Listanumero"/>
      </w:pPr>
      <w:r>
        <w:t>Investoinnin toiminnalliset tavoitteet ratkaisua hyödyntävien asiakkaiden tai ammattilaisten näkökulmista</w:t>
      </w:r>
    </w:p>
    <w:p w14:paraId="3F66B53C" w14:textId="77777777" w:rsidR="004A6755" w:rsidRDefault="004A6755" w:rsidP="004A6755">
      <w:pPr>
        <w:pStyle w:val="Listanumero"/>
      </w:pPr>
      <w:r>
        <w:t>Laskennalliset pitkän aikavälin kustannushyödyt (suhteutettuna vaihtoehtoisiin toteutustapoihin tai investoinnin toteuttamatta jättämiseen.</w:t>
      </w:r>
    </w:p>
    <w:p w14:paraId="258939F2" w14:textId="77777777" w:rsidR="004A6755" w:rsidRDefault="004A6755" w:rsidP="004A6755">
      <w:pPr>
        <w:pStyle w:val="Listanumero"/>
      </w:pPr>
      <w:r>
        <w:t>Kuvaus yhteistyöaluetason yhteistyöstä tai selvitys yhteistyön soveltumattomuudesta</w:t>
      </w:r>
    </w:p>
    <w:p w14:paraId="71487BEB" w14:textId="77777777" w:rsidR="004A6755" w:rsidRPr="004A6755" w:rsidRDefault="004A6755" w:rsidP="004A6755">
      <w:pPr>
        <w:pStyle w:val="Listanumero"/>
      </w:pPr>
      <w:r>
        <w:t xml:space="preserve">Kuvaus siitä, miten investointi toteuttaa </w:t>
      </w:r>
      <w:proofErr w:type="spellStart"/>
      <w:r>
        <w:t>sosiaali</w:t>
      </w:r>
      <w:proofErr w:type="spellEnd"/>
      <w:r>
        <w:t>- ja terveydenhuollon tiedonhallinnan kansallisia periaatteita</w:t>
      </w:r>
    </w:p>
    <w:p w14:paraId="1DB3B4FD" w14:textId="77777777" w:rsidR="004A6755" w:rsidRPr="00397113" w:rsidRDefault="004A6755" w:rsidP="00D354E2">
      <w:pPr>
        <w:pStyle w:val="Otsikko1"/>
        <w:keepNext/>
        <w:keepLines/>
        <w:numPr>
          <w:ilvl w:val="0"/>
          <w:numId w:val="9"/>
        </w:numPr>
        <w:suppressAutoHyphens w:val="0"/>
        <w:spacing w:before="480" w:after="160" w:line="240" w:lineRule="auto"/>
        <w:ind w:left="0" w:firstLine="0"/>
        <w:jc w:val="both"/>
        <w:rPr>
          <w:rFonts w:cs="Arial"/>
        </w:rPr>
      </w:pPr>
      <w:bookmarkStart w:id="24" w:name="_Toc106287001"/>
      <w:bookmarkStart w:id="25" w:name="_Toc137645926"/>
      <w:r w:rsidRPr="00397113">
        <w:rPr>
          <w:rFonts w:cs="Arial"/>
        </w:rPr>
        <w:t>Erilliskysymykset</w:t>
      </w:r>
      <w:bookmarkEnd w:id="24"/>
      <w:bookmarkEnd w:id="25"/>
    </w:p>
    <w:p w14:paraId="1AD335B5" w14:textId="77777777" w:rsidR="004A6755" w:rsidRDefault="004A6755" w:rsidP="004A6755">
      <w:pPr>
        <w:pStyle w:val="Otsikko2"/>
      </w:pPr>
      <w:bookmarkStart w:id="26" w:name="_Toc137645927"/>
      <w:r w:rsidRPr="004A6755">
        <w:t>6.1 Helsingin kaupunki</w:t>
      </w:r>
      <w:bookmarkEnd w:id="26"/>
    </w:p>
    <w:p w14:paraId="554097E8" w14:textId="77777777" w:rsidR="004A6755" w:rsidRDefault="004A6755" w:rsidP="004A6755">
      <w:pPr>
        <w:pStyle w:val="Leipteksti"/>
        <w:rPr>
          <w:lang w:eastAsia="en-US"/>
        </w:rPr>
      </w:pPr>
      <w:r>
        <w:rPr>
          <w:lang w:eastAsia="en-US"/>
        </w:rPr>
        <w:t xml:space="preserve">Lähtökohtana Helsingin investointien ohjauksessa on, että Helsingin on laadittava investointisuunnitelma hyvinvointialuelain ja järjestämislakien mukaisesti (sisältäen myös konsernin investoinnit </w:t>
      </w:r>
      <w:proofErr w:type="spellStart"/>
      <w:r>
        <w:rPr>
          <w:lang w:eastAsia="en-US"/>
        </w:rPr>
        <w:t>sosiaali</w:t>
      </w:r>
      <w:proofErr w:type="spellEnd"/>
      <w:r>
        <w:rPr>
          <w:lang w:eastAsia="en-US"/>
        </w:rPr>
        <w:t xml:space="preserve">- ja terveydenhuollon ja pelastustoimen osalta). Näin ne saadaan mm. valtakunnallisen tason ja yhteistyöaluetason tarkasteluun mukaan. Tältä osin </w:t>
      </w:r>
      <w:proofErr w:type="spellStart"/>
      <w:r>
        <w:rPr>
          <w:lang w:eastAsia="en-US"/>
        </w:rPr>
        <w:t>sosiaali</w:t>
      </w:r>
      <w:proofErr w:type="spellEnd"/>
      <w:r>
        <w:rPr>
          <w:lang w:eastAsia="en-US"/>
        </w:rPr>
        <w:t xml:space="preserve">- ja terveydenhuollon ja pelastustoimen järjestämisestä Uudellamaalla koskevan lain 17 § luetteloon (Helsingin kaupunkiin sovellettavat säännökset) sisältyy hyvinvointialuelain 16 § (investointien ohjaus). Investointisuunnitelma käsiteltäisiin ja se olisi mahdollista hylätä järjestämislakien mukaisesti hyvinvointialueiden investointisuunnitelmien tavoin lukuun ottamatta lainanottovaltuuden mukaista rajoitusta (Helsingin kaupungin pitkäaikaisen lainan otto-oikeutta ei rajoiteta, eikä sille siten </w:t>
      </w:r>
      <w:r w:rsidR="00B9409F">
        <w:rPr>
          <w:lang w:eastAsia="en-US"/>
        </w:rPr>
        <w:t>määritetä lainanottovaltuutta).</w:t>
      </w:r>
    </w:p>
    <w:p w14:paraId="32A8EA80" w14:textId="77777777" w:rsidR="004A6755" w:rsidRDefault="004A6755" w:rsidP="004A6755">
      <w:pPr>
        <w:pStyle w:val="Leipteksti"/>
        <w:rPr>
          <w:lang w:eastAsia="en-US"/>
        </w:rPr>
      </w:pPr>
      <w:proofErr w:type="spellStart"/>
      <w:r>
        <w:rPr>
          <w:lang w:eastAsia="en-US"/>
        </w:rPr>
        <w:t>Sosiaali</w:t>
      </w:r>
      <w:proofErr w:type="spellEnd"/>
      <w:r>
        <w:rPr>
          <w:lang w:eastAsia="en-US"/>
        </w:rPr>
        <w:t xml:space="preserve">- ja terveydenhuollon ja pelastustoimen järjestämisestä Uudellamaalla koskevan lain (615/2021) 20 §:n mukaan Helsingin kaupungin on eriytettävä hyvinvointialueiden rahoituksesta annetun lain nojalla </w:t>
      </w:r>
      <w:r>
        <w:rPr>
          <w:lang w:eastAsia="en-US"/>
        </w:rPr>
        <w:lastRenderedPageBreak/>
        <w:t xml:space="preserve">maksettavalla rahoituksella, lakisääteisen </w:t>
      </w:r>
      <w:proofErr w:type="spellStart"/>
      <w:r>
        <w:rPr>
          <w:lang w:eastAsia="en-US"/>
        </w:rPr>
        <w:t>sosiaali</w:t>
      </w:r>
      <w:proofErr w:type="spellEnd"/>
      <w:r>
        <w:rPr>
          <w:lang w:eastAsia="en-US"/>
        </w:rPr>
        <w:t xml:space="preserve">- ja terveydenhuollon tai pelastustoimen järjestämisestä perittävillä asiakasmaksuilla sekä muilla lakisääteisen </w:t>
      </w:r>
      <w:proofErr w:type="spellStart"/>
      <w:r>
        <w:rPr>
          <w:lang w:eastAsia="en-US"/>
        </w:rPr>
        <w:t>sosiaali</w:t>
      </w:r>
      <w:proofErr w:type="spellEnd"/>
      <w:r>
        <w:rPr>
          <w:lang w:eastAsia="en-US"/>
        </w:rPr>
        <w:t xml:space="preserve">- ja terveydenhuollon tai pelastustoimen järjestämisestä kertyvillä tuotoilla rahoitettava </w:t>
      </w:r>
      <w:proofErr w:type="spellStart"/>
      <w:r>
        <w:rPr>
          <w:lang w:eastAsia="en-US"/>
        </w:rPr>
        <w:t>sosiaali</w:t>
      </w:r>
      <w:proofErr w:type="spellEnd"/>
      <w:r>
        <w:rPr>
          <w:lang w:eastAsia="en-US"/>
        </w:rPr>
        <w:t xml:space="preserve">- ja terveydenhuollon sekä pelastustoimen järjestäminen (eriytettävät tehtävät) kaupungin talousarviossa (ml. investointiosa) ja kirjanpidossa. </w:t>
      </w:r>
    </w:p>
    <w:p w14:paraId="3612B27E" w14:textId="77777777" w:rsidR="004A6755" w:rsidRDefault="004A6755" w:rsidP="004A6755">
      <w:pPr>
        <w:pStyle w:val="Leipteksti"/>
        <w:rPr>
          <w:lang w:eastAsia="en-US"/>
        </w:rPr>
      </w:pPr>
      <w:r>
        <w:rPr>
          <w:lang w:eastAsia="en-US"/>
        </w:rPr>
        <w:t>Eriytettäviin tehtäviin kohdistetaan niistä aiheutuvat tuotot ja kulut sekä omaisuus- ja pääomaerät. Toimitiloista aiheutuvat kulut kohdistetaan eriytettäville tehtäville Helsingin kaupungin sisäisinä vuokrina. Kirjanpitolautakunnan hyvinvointialue- ja kuntajaostolla on oikeus antaa ohjeita ja lausuntoja kirjanpidon eriyttämisestä.</w:t>
      </w:r>
    </w:p>
    <w:p w14:paraId="56009EE6" w14:textId="77777777" w:rsidR="004A6755" w:rsidRDefault="004A6755" w:rsidP="004A6755">
      <w:pPr>
        <w:pStyle w:val="Leipteksti"/>
        <w:rPr>
          <w:lang w:eastAsia="en-US"/>
        </w:rPr>
      </w:pPr>
      <w:proofErr w:type="spellStart"/>
      <w:r>
        <w:rPr>
          <w:lang w:eastAsia="en-US"/>
        </w:rPr>
        <w:t>Sosiaali</w:t>
      </w:r>
      <w:proofErr w:type="spellEnd"/>
      <w:r>
        <w:rPr>
          <w:lang w:eastAsia="en-US"/>
        </w:rPr>
        <w:t xml:space="preserve">- ja terveydenhuollon ja pelastustoimen järjestämisestä Uudellamaalla koskevan lain 21 §:n mukaan Helsingin kaupungin investointisuunnitelma koskee vain em. eriytettäviä </w:t>
      </w:r>
      <w:proofErr w:type="spellStart"/>
      <w:r>
        <w:rPr>
          <w:lang w:eastAsia="en-US"/>
        </w:rPr>
        <w:t>sosiaali</w:t>
      </w:r>
      <w:proofErr w:type="spellEnd"/>
      <w:r>
        <w:rPr>
          <w:lang w:eastAsia="en-US"/>
        </w:rPr>
        <w:t xml:space="preserve">- ja terveydenhuollon ja pelastustoimen tehtäviä. Helsingin kaupungin </w:t>
      </w:r>
      <w:proofErr w:type="spellStart"/>
      <w:r>
        <w:rPr>
          <w:lang w:eastAsia="en-US"/>
        </w:rPr>
        <w:t>sosiaali</w:t>
      </w:r>
      <w:proofErr w:type="spellEnd"/>
      <w:r>
        <w:rPr>
          <w:lang w:eastAsia="en-US"/>
        </w:rPr>
        <w:t>- ja terveydenhuollon sekä pelastustoimen investointiosan on perustuttava Helsingin kaupungin investointisuunnitelmaan, jonka toimivaltaiset ministeriöt ovat hyväksyneet siten kuin siitä erikseen säädetään.</w:t>
      </w:r>
    </w:p>
    <w:p w14:paraId="0215EC5E" w14:textId="77777777" w:rsidR="004A6755" w:rsidRDefault="004A6755" w:rsidP="004A6755">
      <w:pPr>
        <w:pStyle w:val="Leipteksti"/>
        <w:rPr>
          <w:lang w:eastAsia="en-US"/>
        </w:rPr>
      </w:pPr>
      <w:r>
        <w:rPr>
          <w:lang w:eastAsia="en-US"/>
        </w:rPr>
        <w:t xml:space="preserve">Helsinki voi kaupungin puolella toteuttaa investointisuunnitelman ulkopuolisia investointeja, mutta ne on esitettävä muun kaupungin talousarvion investointiosassa eikä niiden menoja voi kirjata </w:t>
      </w:r>
      <w:proofErr w:type="spellStart"/>
      <w:r>
        <w:rPr>
          <w:lang w:eastAsia="en-US"/>
        </w:rPr>
        <w:t>sosiaali</w:t>
      </w:r>
      <w:proofErr w:type="spellEnd"/>
      <w:r>
        <w:rPr>
          <w:lang w:eastAsia="en-US"/>
        </w:rPr>
        <w:t>- ja terveydenhuollon tai pelastustoimen kokonaisuuteen. Tällä tavoin ne eivät ole mukana myöskään valtion rahoituksen jälkikäteistarkistuksessa.</w:t>
      </w:r>
    </w:p>
    <w:p w14:paraId="6AC05A56" w14:textId="77777777" w:rsidR="004A6755" w:rsidRDefault="004A6755" w:rsidP="004A6755">
      <w:pPr>
        <w:pStyle w:val="Leipteksti"/>
        <w:rPr>
          <w:lang w:eastAsia="en-US"/>
        </w:rPr>
      </w:pPr>
      <w:r>
        <w:rPr>
          <w:lang w:eastAsia="en-US"/>
        </w:rPr>
        <w:t>Helsingin kaupungin pitkäaikaisen lainan ottoa ei rajoiteta eikä sille täten määritetä lainanottovaltuutta– siten investointisuunnitelmaa ei myöskään voida hylätä lainanottovaltuuden ylittymisen vuoksi.</w:t>
      </w:r>
    </w:p>
    <w:p w14:paraId="4F3AA118" w14:textId="77777777" w:rsidR="004A6755" w:rsidRDefault="004A6755" w:rsidP="004A6755">
      <w:pPr>
        <w:pStyle w:val="Otsikko2"/>
      </w:pPr>
      <w:bookmarkStart w:id="27" w:name="_Toc137645928"/>
      <w:r w:rsidRPr="004A6755">
        <w:t>6.2 HUS-yhtymä</w:t>
      </w:r>
      <w:bookmarkEnd w:id="27"/>
    </w:p>
    <w:p w14:paraId="65810BC2" w14:textId="77777777" w:rsidR="004A6755" w:rsidRDefault="004A6755" w:rsidP="004A6755">
      <w:pPr>
        <w:pStyle w:val="Leipteksti"/>
        <w:rPr>
          <w:lang w:eastAsia="en-US"/>
        </w:rPr>
      </w:pPr>
      <w:r>
        <w:rPr>
          <w:lang w:eastAsia="en-US"/>
        </w:rPr>
        <w:t xml:space="preserve">Lainanottovaltuutta koskevassa hyvinvointialuelain 15 § säädettyä sovelletaan myös HUS-yhtymään. HUS-yhtymän lainanottovaltuus lasketaan vastaavalla tavalla vuosikatteen pohjalta kuten hyvinvointialueilla. Erona muihin alueisiin on kuitenkin se, että laskennan pohjana olevaan HUS-yhtymän vuosikatteeseen vaikuttaa keskeisesti se, minkä suuruisiksi hyvinvointialueiden ja Helsingin maksuosuudet HUS-yhtymälle on sovittu. </w:t>
      </w:r>
    </w:p>
    <w:p w14:paraId="57C7A2FD" w14:textId="77777777" w:rsidR="004A6755" w:rsidRDefault="004A6755" w:rsidP="004A6755">
      <w:pPr>
        <w:pStyle w:val="Leipteksti"/>
        <w:rPr>
          <w:lang w:eastAsia="en-US"/>
        </w:rPr>
      </w:pPr>
      <w:r>
        <w:rPr>
          <w:lang w:eastAsia="en-US"/>
        </w:rPr>
        <w:t>Ostot HUS-yhtymältä vaikuttavat Uudenmaan hyvinvointialueiden vuosikatteisiin ja sitä kautta niiden omiin lainanottovaltuuksiin. HUS-yhtymän lainanottovaltuuden laskennan perusedellytys on se, että HUS-yhtymän ja hyvinvointialueiden sekä Helsingin kaupungin näkemys maksuosuuksien määrästä on yhtenevä, ja että luku on tiedossa siinä vaiheessa, kun VM laskee lainanottovaltuutta, eli tilikautta edeltävän vuoden keväällä.</w:t>
      </w:r>
    </w:p>
    <w:p w14:paraId="7893CD5C" w14:textId="77777777" w:rsidR="004A6755" w:rsidRDefault="004A6755" w:rsidP="004A6755">
      <w:pPr>
        <w:pStyle w:val="Otsikko2"/>
      </w:pPr>
      <w:bookmarkStart w:id="28" w:name="_Toc137645929"/>
      <w:r>
        <w:t>6.3 Investointisääntelyn suhde rajoituslakiin</w:t>
      </w:r>
      <w:bookmarkEnd w:id="28"/>
    </w:p>
    <w:p w14:paraId="080EF2B6" w14:textId="77777777" w:rsidR="004A6755" w:rsidRDefault="004A6755" w:rsidP="004A6755">
      <w:pPr>
        <w:pStyle w:val="Leipteksti"/>
        <w:rPr>
          <w:lang w:eastAsia="en-US"/>
        </w:rPr>
      </w:pPr>
      <w:r>
        <w:rPr>
          <w:lang w:eastAsia="en-US"/>
        </w:rPr>
        <w:t xml:space="preserve">Laki kuntien eräiden oikeustoimien väliaikaisesta rajoittamisesta </w:t>
      </w:r>
      <w:proofErr w:type="spellStart"/>
      <w:r>
        <w:rPr>
          <w:lang w:eastAsia="en-US"/>
        </w:rPr>
        <w:t>sosiaali</w:t>
      </w:r>
      <w:proofErr w:type="spellEnd"/>
      <w:r>
        <w:rPr>
          <w:lang w:eastAsia="en-US"/>
        </w:rPr>
        <w:t xml:space="preserve">- ja terveydenhuollossa (729/2020), eli ns. rajoituslaki kieltää kuntia ja kuntayhtymiä ja niiden yksin tai yhdessä omistamia yhtiöitä tekemästä kokonaiskustannuksiltaan yli viiden miljoonan euron investointeja </w:t>
      </w:r>
      <w:proofErr w:type="spellStart"/>
      <w:r>
        <w:rPr>
          <w:lang w:eastAsia="en-US"/>
        </w:rPr>
        <w:t>sosiaali</w:t>
      </w:r>
      <w:proofErr w:type="spellEnd"/>
      <w:r>
        <w:rPr>
          <w:lang w:eastAsia="en-US"/>
        </w:rPr>
        <w:t xml:space="preserve">- ja terveydenhuollon toimitiloihin ja rakennuksiin ilman </w:t>
      </w:r>
      <w:proofErr w:type="spellStart"/>
      <w:r>
        <w:rPr>
          <w:lang w:eastAsia="en-US"/>
        </w:rPr>
        <w:t>sosiaali</w:t>
      </w:r>
      <w:proofErr w:type="spellEnd"/>
      <w:r>
        <w:rPr>
          <w:lang w:eastAsia="en-US"/>
        </w:rPr>
        <w:t xml:space="preserve">- ja terveysministeriön poikkeuslupaa. Laki on määräaikainen ja voimassa </w:t>
      </w:r>
      <w:r>
        <w:rPr>
          <w:lang w:eastAsia="en-US"/>
        </w:rPr>
        <w:lastRenderedPageBreak/>
        <w:t>31.12.2025 saakka. Tarkoituksena on kumota rajoituslaki päättymään vuoden 2023 alussa, joten lakien välille ei synny ristiriitaa.</w:t>
      </w:r>
    </w:p>
    <w:p w14:paraId="60F77E6C" w14:textId="77777777" w:rsidR="004A6755" w:rsidRDefault="004A6755" w:rsidP="004A6755">
      <w:pPr>
        <w:pStyle w:val="Leipteksti"/>
        <w:rPr>
          <w:lang w:eastAsia="en-US"/>
        </w:rPr>
      </w:pPr>
      <w:r>
        <w:rPr>
          <w:lang w:eastAsia="en-US"/>
        </w:rPr>
        <w:t xml:space="preserve">Rajoituslain mukaisia poikkeuslupia on myönnetty lain voimaantulon (1.7.2016) jälkeen 5,6 miljardin edestä. Poikkeusluvassa ei ole otettu kantaa hankkeen rahoittamiseen. Myönnetty poikkeuslupa ei merkitse automaattisesti vastaavan suuruisen poikkeuksellisen lainanottovaltuuden myöntämistä hyvinvointialueelle. Lainanottovaltuudet myönnetään VM:n toimesta vuosittain kullekin hyvinvointialueelle. </w:t>
      </w:r>
    </w:p>
    <w:p w14:paraId="18189421" w14:textId="77777777" w:rsidR="004A6755" w:rsidRDefault="004A6755" w:rsidP="004A6755">
      <w:pPr>
        <w:pStyle w:val="Leipteksti"/>
        <w:rPr>
          <w:lang w:eastAsia="en-US"/>
        </w:rPr>
      </w:pPr>
      <w:r>
        <w:rPr>
          <w:lang w:eastAsia="en-US"/>
        </w:rPr>
        <w:t xml:space="preserve">Rajoituslaki koskee kuntia ja kuntayhtymiä. Tämä merkitsee sitä, että hyvinvointialue voi toimintansa aloittamisen jälkeen (1.3.2022 jälkeen) tehdä tiloja koskevia oikeustoimia ilman rajoituslaissa olevia ehtoja. </w:t>
      </w:r>
    </w:p>
    <w:p w14:paraId="0EAE6377" w14:textId="77777777" w:rsidR="004A6755" w:rsidRDefault="004A6755" w:rsidP="004A6755">
      <w:pPr>
        <w:pStyle w:val="Otsikko2"/>
      </w:pPr>
      <w:bookmarkStart w:id="29" w:name="_Toc137645930"/>
      <w:r>
        <w:t>6.4 Hyvinvointialueiden yhteiset investoinnit</w:t>
      </w:r>
      <w:bookmarkEnd w:id="29"/>
    </w:p>
    <w:p w14:paraId="082B8B33" w14:textId="77777777" w:rsidR="004A6755" w:rsidRDefault="004A6755" w:rsidP="004A6755">
      <w:pPr>
        <w:pStyle w:val="Leipteksti"/>
        <w:rPr>
          <w:lang w:eastAsia="en-US"/>
        </w:rPr>
      </w:pPr>
      <w:r>
        <w:rPr>
          <w:lang w:eastAsia="en-US"/>
        </w:rPr>
        <w:t xml:space="preserve">Hyvinvointialueet voivat sopia yhteisistä investoinneista. Jos kyseessä tällöin on yhdessä omistettu omaisuuserä, se tulee kaikkien omistajahyvinvointialueiden taseeseen. Tällöin kukin niistä merkitsee oman osuutensa investoinnista myös investointisuunnitelmaansa. </w:t>
      </w:r>
    </w:p>
    <w:p w14:paraId="1A5A38BD" w14:textId="77777777" w:rsidR="004A6755" w:rsidRDefault="004A6755" w:rsidP="004A6755">
      <w:pPr>
        <w:pStyle w:val="Leipteksti"/>
        <w:rPr>
          <w:lang w:eastAsia="en-US"/>
        </w:rPr>
      </w:pPr>
      <w:r>
        <w:rPr>
          <w:lang w:eastAsia="en-US"/>
        </w:rPr>
        <w:t>Yleisesti keskitettyjen tehtävien investoinnit esitetään toteuttajan investointisuunnitelmassa, johon rahoitus saadaan laskutuksen kautta ”asiakashyvinvointialueilta”</w:t>
      </w:r>
    </w:p>
    <w:p w14:paraId="0BE06760" w14:textId="5DE19376" w:rsidR="00A63CCF" w:rsidRDefault="00A63CCF" w:rsidP="00A63CCF">
      <w:pPr>
        <w:pStyle w:val="Leipteksti"/>
      </w:pPr>
    </w:p>
    <w:sectPr w:rsidR="00A63CCF" w:rsidSect="00397113">
      <w:headerReference w:type="even" r:id="rId13"/>
      <w:headerReference w:type="default" r:id="rId14"/>
      <w:footerReference w:type="even" r:id="rId15"/>
      <w:footerReference w:type="default" r:id="rId16"/>
      <w:pgSz w:w="11906" w:h="16838"/>
      <w:pgMar w:top="241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28F31" w14:textId="77777777" w:rsidR="00FC6C82" w:rsidRDefault="00FC6C82" w:rsidP="006233E1">
      <w:r>
        <w:separator/>
      </w:r>
    </w:p>
    <w:p w14:paraId="0F1C538C" w14:textId="77777777" w:rsidR="00FC6C82" w:rsidRDefault="00FC6C82"/>
    <w:p w14:paraId="4CBDE85E" w14:textId="77777777" w:rsidR="00FC6C82" w:rsidRDefault="00FC6C82"/>
    <w:p w14:paraId="2C883511" w14:textId="77777777" w:rsidR="00FC6C82" w:rsidRDefault="00FC6C82"/>
    <w:p w14:paraId="00689BA1" w14:textId="77777777" w:rsidR="00FC6C82" w:rsidRDefault="00FC6C82"/>
  </w:endnote>
  <w:endnote w:type="continuationSeparator" w:id="0">
    <w:p w14:paraId="217AC3A3" w14:textId="77777777" w:rsidR="00FC6C82" w:rsidRDefault="00FC6C82" w:rsidP="006233E1">
      <w:r>
        <w:continuationSeparator/>
      </w:r>
    </w:p>
    <w:p w14:paraId="7DB00E3E" w14:textId="77777777" w:rsidR="00FC6C82" w:rsidRDefault="00FC6C82"/>
    <w:p w14:paraId="661F4C0B" w14:textId="77777777" w:rsidR="00FC6C82" w:rsidRDefault="00FC6C82"/>
    <w:p w14:paraId="59B53503" w14:textId="77777777" w:rsidR="00FC6C82" w:rsidRDefault="00FC6C82"/>
    <w:p w14:paraId="17BF86F7" w14:textId="77777777" w:rsidR="00FC6C82" w:rsidRDefault="00FC6C82"/>
  </w:endnote>
  <w:endnote w:type="continuationNotice" w:id="1">
    <w:p w14:paraId="62013AE8" w14:textId="77777777" w:rsidR="00FC6C82" w:rsidRDefault="00FC6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BF3C5" w14:textId="77777777" w:rsidR="00B62031" w:rsidRDefault="00B62031" w:rsidP="00F93163">
    <w:pPr>
      <w:pStyle w:val="Alatunniste"/>
      <w:tabs>
        <w:tab w:val="left" w:pos="2694"/>
      </w:tabs>
    </w:pPr>
  </w:p>
  <w:p w14:paraId="6D98A12B" w14:textId="77777777" w:rsidR="00B62031" w:rsidRDefault="00B62031" w:rsidP="00F93163">
    <w:pPr>
      <w:pStyle w:val="Alatunniste"/>
      <w:tabs>
        <w:tab w:val="left" w:pos="2694"/>
      </w:tabs>
    </w:pPr>
  </w:p>
  <w:p w14:paraId="2946DB82" w14:textId="77777777" w:rsidR="00B62031" w:rsidRDefault="00B62031" w:rsidP="00F93163">
    <w:pPr>
      <w:pStyle w:val="Alatunniste"/>
      <w:tabs>
        <w:tab w:val="left" w:pos="2694"/>
      </w:tabs>
    </w:pPr>
  </w:p>
  <w:p w14:paraId="5997CC1D" w14:textId="77777777" w:rsidR="00B62031" w:rsidRDefault="00B62031" w:rsidP="00F93163">
    <w:pPr>
      <w:pStyle w:val="Alatunniste"/>
      <w:tabs>
        <w:tab w:val="left" w:pos="2410"/>
        <w:tab w:val="left" w:pos="2694"/>
      </w:tabs>
    </w:pPr>
  </w:p>
  <w:p w14:paraId="110FFD37" w14:textId="77777777" w:rsidR="00B62031" w:rsidRDefault="00B62031" w:rsidP="00F93163">
    <w:pPr>
      <w:pStyle w:val="Alatunniste"/>
      <w:tabs>
        <w:tab w:val="left" w:pos="2410"/>
        <w:tab w:val="left" w:pos="2694"/>
      </w:tabs>
    </w:pPr>
  </w:p>
  <w:p w14:paraId="6B699379" w14:textId="77777777" w:rsidR="00B62031" w:rsidRDefault="00B62031" w:rsidP="00F93163">
    <w:pPr>
      <w:pStyle w:val="Alatunniste"/>
      <w:tabs>
        <w:tab w:val="left" w:pos="2410"/>
        <w:tab w:val="left" w:pos="2694"/>
      </w:tabs>
    </w:pPr>
  </w:p>
  <w:p w14:paraId="3FE9F23F" w14:textId="77777777" w:rsidR="00B62031" w:rsidRDefault="00B62031" w:rsidP="00F93163">
    <w:pPr>
      <w:pStyle w:val="Alatunniste"/>
      <w:tabs>
        <w:tab w:val="left" w:pos="2410"/>
        <w:tab w:val="left" w:pos="2694"/>
      </w:tabs>
    </w:pPr>
  </w:p>
  <w:p w14:paraId="1F72F646" w14:textId="77777777" w:rsidR="00B62031" w:rsidRDefault="00B62031" w:rsidP="00F93163">
    <w:pPr>
      <w:pStyle w:val="Alatunniste"/>
      <w:tabs>
        <w:tab w:val="left" w:pos="2127"/>
        <w:tab w:val="left" w:pos="2410"/>
        <w:tab w:val="left" w:pos="2694"/>
      </w:tabs>
    </w:pPr>
  </w:p>
  <w:p w14:paraId="08CE6F91" w14:textId="77777777" w:rsidR="00B62031" w:rsidRDefault="00B62031" w:rsidP="00F93163">
    <w:pPr>
      <w:pStyle w:val="Alatunniste"/>
      <w:tabs>
        <w:tab w:val="left" w:pos="2127"/>
        <w:tab w:val="left" w:pos="2410"/>
        <w:tab w:val="left" w:pos="2694"/>
      </w:tabs>
    </w:pPr>
  </w:p>
  <w:p w14:paraId="61CDCEAD" w14:textId="77777777" w:rsidR="00B62031" w:rsidRDefault="00B62031" w:rsidP="00F93163">
    <w:pPr>
      <w:pStyle w:val="Alatunniste"/>
      <w:tabs>
        <w:tab w:val="left" w:pos="1843"/>
        <w:tab w:val="left" w:pos="2127"/>
        <w:tab w:val="left" w:pos="2410"/>
        <w:tab w:val="left" w:pos="2694"/>
      </w:tabs>
    </w:pPr>
  </w:p>
  <w:p w14:paraId="6BB9E253" w14:textId="77777777" w:rsidR="00B62031" w:rsidRDefault="00B62031" w:rsidP="00F93163">
    <w:pPr>
      <w:pStyle w:val="Alatunniste"/>
      <w:tabs>
        <w:tab w:val="left" w:pos="1843"/>
        <w:tab w:val="left" w:pos="2127"/>
        <w:tab w:val="left" w:pos="2410"/>
        <w:tab w:val="left" w:pos="2694"/>
      </w:tabs>
    </w:pPr>
  </w:p>
  <w:p w14:paraId="23DE523C" w14:textId="77777777" w:rsidR="00B62031" w:rsidRDefault="00B62031" w:rsidP="00F93163">
    <w:pPr>
      <w:pStyle w:val="Alatunniste"/>
      <w:tabs>
        <w:tab w:val="left" w:pos="1560"/>
        <w:tab w:val="left" w:pos="1843"/>
        <w:tab w:val="left" w:pos="2127"/>
        <w:tab w:val="left" w:pos="2410"/>
        <w:tab w:val="left" w:pos="2694"/>
      </w:tabs>
    </w:pPr>
  </w:p>
  <w:p w14:paraId="52E56223" w14:textId="77777777" w:rsidR="00B62031" w:rsidRDefault="00B62031" w:rsidP="00F93163">
    <w:pPr>
      <w:pStyle w:val="Alatunniste"/>
      <w:tabs>
        <w:tab w:val="left" w:pos="1560"/>
        <w:tab w:val="left" w:pos="1843"/>
        <w:tab w:val="left" w:pos="2127"/>
        <w:tab w:val="left" w:pos="2410"/>
        <w:tab w:val="left" w:pos="2694"/>
      </w:tabs>
    </w:pPr>
  </w:p>
  <w:p w14:paraId="07547A01" w14:textId="77777777" w:rsidR="00B62031" w:rsidRDefault="00B62031" w:rsidP="00F93163">
    <w:pPr>
      <w:pStyle w:val="Alatunniste"/>
      <w:tabs>
        <w:tab w:val="left" w:pos="1560"/>
        <w:tab w:val="left" w:pos="1843"/>
        <w:tab w:val="left" w:pos="2127"/>
        <w:tab w:val="left" w:pos="2410"/>
        <w:tab w:val="left" w:pos="2694"/>
      </w:tabs>
    </w:pPr>
  </w:p>
  <w:p w14:paraId="5043CB0F" w14:textId="77777777" w:rsidR="00B62031" w:rsidRDefault="00B62031" w:rsidP="00F93163">
    <w:pPr>
      <w:pStyle w:val="Alatunniste"/>
      <w:tabs>
        <w:tab w:val="left" w:pos="1560"/>
        <w:tab w:val="left" w:pos="1843"/>
        <w:tab w:val="left" w:pos="2127"/>
        <w:tab w:val="left" w:pos="2410"/>
        <w:tab w:val="left" w:pos="2694"/>
      </w:tabs>
    </w:pPr>
  </w:p>
  <w:p w14:paraId="07459315" w14:textId="77777777" w:rsidR="00B62031" w:rsidRDefault="00B62031" w:rsidP="00F93163">
    <w:pPr>
      <w:pStyle w:val="Alatunniste"/>
      <w:tabs>
        <w:tab w:val="left" w:pos="1560"/>
        <w:tab w:val="left" w:pos="1843"/>
        <w:tab w:val="left" w:pos="2127"/>
        <w:tab w:val="left" w:pos="2410"/>
        <w:tab w:val="left" w:pos="2694"/>
      </w:tabs>
    </w:pPr>
  </w:p>
  <w:p w14:paraId="6537F28F" w14:textId="77777777" w:rsidR="00B62031" w:rsidRDefault="00B62031" w:rsidP="00F93163">
    <w:pPr>
      <w:pStyle w:val="Alatunniste"/>
      <w:tabs>
        <w:tab w:val="left" w:pos="1560"/>
        <w:tab w:val="left" w:pos="1843"/>
        <w:tab w:val="left" w:pos="2127"/>
        <w:tab w:val="left" w:pos="2410"/>
        <w:tab w:val="left" w:pos="2694"/>
      </w:tabs>
    </w:pPr>
  </w:p>
  <w:p w14:paraId="6DFB9E20" w14:textId="77777777" w:rsidR="00B62031" w:rsidRDefault="00B62031" w:rsidP="00F93163">
    <w:pPr>
      <w:pStyle w:val="Alatunniste"/>
      <w:tabs>
        <w:tab w:val="left" w:pos="1560"/>
        <w:tab w:val="left" w:pos="1843"/>
        <w:tab w:val="left" w:pos="2127"/>
        <w:tab w:val="left" w:pos="2410"/>
        <w:tab w:val="left" w:pos="2694"/>
      </w:tabs>
    </w:pPr>
  </w:p>
  <w:p w14:paraId="70DF9E56" w14:textId="77777777" w:rsidR="00B62031" w:rsidRDefault="00B62031" w:rsidP="00F93163">
    <w:pPr>
      <w:pStyle w:val="Alatunniste"/>
      <w:tabs>
        <w:tab w:val="left" w:pos="1560"/>
        <w:tab w:val="left" w:pos="1843"/>
        <w:tab w:val="left" w:pos="2127"/>
        <w:tab w:val="left" w:pos="2410"/>
        <w:tab w:val="left" w:pos="2694"/>
      </w:tabs>
    </w:pPr>
  </w:p>
  <w:p w14:paraId="44E871BC" w14:textId="77777777" w:rsidR="00B62031" w:rsidRDefault="00B62031"/>
  <w:p w14:paraId="144A5D23" w14:textId="77777777" w:rsidR="00B62031" w:rsidRDefault="00B62031"/>
  <w:p w14:paraId="738610EB" w14:textId="77777777" w:rsidR="00B62031" w:rsidRDefault="00B62031"/>
  <w:p w14:paraId="637805D2" w14:textId="77777777" w:rsidR="00B62031" w:rsidRDefault="00B6203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737333"/>
      <w:docPartObj>
        <w:docPartGallery w:val="Page Numbers (Bottom of Page)"/>
        <w:docPartUnique/>
      </w:docPartObj>
    </w:sdtPr>
    <w:sdtEndPr/>
    <w:sdtContent>
      <w:p w14:paraId="7D7F6B08" w14:textId="73C351AC" w:rsidR="00B62031" w:rsidRDefault="00B62031">
        <w:pPr>
          <w:pStyle w:val="Alatunniste"/>
          <w:jc w:val="right"/>
        </w:pPr>
        <w:r>
          <w:fldChar w:fldCharType="begin"/>
        </w:r>
        <w:r>
          <w:instrText>PAGE   \* MERGEFORMAT</w:instrText>
        </w:r>
        <w:r>
          <w:fldChar w:fldCharType="separate"/>
        </w:r>
        <w:r w:rsidR="005B13C4" w:rsidRPr="005B13C4">
          <w:rPr>
            <w:noProof/>
            <w:lang w:val="fi-FI"/>
          </w:rPr>
          <w:t>18</w:t>
        </w:r>
        <w:r>
          <w:fldChar w:fldCharType="end"/>
        </w:r>
      </w:p>
    </w:sdtContent>
  </w:sdt>
  <w:p w14:paraId="34CE0A41" w14:textId="77777777" w:rsidR="00B62031" w:rsidRDefault="00B62031" w:rsidP="00730DBA">
    <w:pPr>
      <w:pStyle w:val="bAlatunnistenumer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D5590" w14:textId="77777777" w:rsidR="00FC6C82" w:rsidRDefault="00FC6C82" w:rsidP="00730DBA">
      <w:r>
        <w:separator/>
      </w:r>
    </w:p>
  </w:footnote>
  <w:footnote w:type="continuationSeparator" w:id="0">
    <w:p w14:paraId="6AB6F738" w14:textId="77777777" w:rsidR="00FC6C82" w:rsidRDefault="00FC6C82" w:rsidP="00730DBA">
      <w:r>
        <w:continuationSeparator/>
      </w:r>
    </w:p>
  </w:footnote>
  <w:footnote w:type="continuationNotice" w:id="1">
    <w:p w14:paraId="453255FF" w14:textId="77777777" w:rsidR="00FC6C82" w:rsidRPr="00730DBA" w:rsidRDefault="00FC6C82" w:rsidP="00730DBA">
      <w:pPr>
        <w:pStyle w:val="Alatunnist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9836" w14:textId="77777777" w:rsidR="00B62031" w:rsidRDefault="00B62031">
    <w:pPr>
      <w:pStyle w:val="Yltunniste"/>
    </w:pPr>
  </w:p>
  <w:p w14:paraId="296FEF7D" w14:textId="77777777" w:rsidR="00B62031" w:rsidRDefault="00B62031"/>
  <w:p w14:paraId="7194DBDC" w14:textId="77777777" w:rsidR="00B62031" w:rsidRDefault="00B62031"/>
  <w:p w14:paraId="769D0D3C" w14:textId="77777777" w:rsidR="00B62031" w:rsidRDefault="00B62031"/>
  <w:p w14:paraId="54CD245A" w14:textId="77777777" w:rsidR="00B62031" w:rsidRDefault="00B620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1E50" w14:textId="77777777" w:rsidR="00B62031" w:rsidRDefault="00B62031" w:rsidP="00C458C6">
    <w:pPr>
      <w:pStyle w:val="Alatunniste"/>
      <w:tabs>
        <w:tab w:val="left" w:pos="2694"/>
      </w:tabs>
    </w:pPr>
    <w:r>
      <w:rPr>
        <w:noProof/>
        <w:lang w:val="fi-FI" w:eastAsia="fi-FI"/>
      </w:rPr>
      <w:drawing>
        <wp:anchor distT="0" distB="0" distL="114300" distR="114300" simplePos="0" relativeHeight="251658240" behindDoc="1" locked="0" layoutInCell="1" allowOverlap="0" wp14:anchorId="36CDDEAA" wp14:editId="12E3FB9F">
          <wp:simplePos x="0" y="0"/>
          <wp:positionH relativeFrom="margin">
            <wp:posOffset>-172930</wp:posOffset>
          </wp:positionH>
          <wp:positionV relativeFrom="margin">
            <wp:posOffset>-1227455</wp:posOffset>
          </wp:positionV>
          <wp:extent cx="2259530" cy="957600"/>
          <wp:effectExtent l="0" t="0" r="7620" b="0"/>
          <wp:wrapNone/>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N-tunnus_fi-sv_vaaka_sininen_L100_RGB.png"/>
                  <pic:cNvPicPr/>
                </pic:nvPicPr>
                <pic:blipFill>
                  <a:blip r:embed="rId1"/>
                  <a:stretch>
                    <a:fillRect/>
                  </a:stretch>
                </pic:blipFill>
                <pic:spPr>
                  <a:xfrm>
                    <a:off x="0" y="0"/>
                    <a:ext cx="2259530" cy="95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6159"/>
    <w:multiLevelType w:val="hybridMultilevel"/>
    <w:tmpl w:val="3558D5E0"/>
    <w:lvl w:ilvl="0" w:tplc="4272A532">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 w15:restartNumberingAfterBreak="0">
    <w:nsid w:val="10512D82"/>
    <w:multiLevelType w:val="hybridMultilevel"/>
    <w:tmpl w:val="298C3246"/>
    <w:lvl w:ilvl="0" w:tplc="040B0011">
      <w:start w:val="1"/>
      <w:numFmt w:val="decimal"/>
      <w:lvlText w:val="%1)"/>
      <w:lvlJc w:val="left"/>
      <w:pPr>
        <w:ind w:left="1004" w:hanging="360"/>
      </w:pPr>
      <w:rPr>
        <w:rFonts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2" w15:restartNumberingAfterBreak="0">
    <w:nsid w:val="112F747F"/>
    <w:multiLevelType w:val="hybridMultilevel"/>
    <w:tmpl w:val="075241AC"/>
    <w:lvl w:ilvl="0" w:tplc="CBD4F798">
      <w:start w:val="1"/>
      <w:numFmt w:val="decimal"/>
      <w:pStyle w:val="Listanumero"/>
      <w:lvlText w:val="%1."/>
      <w:lvlJc w:val="left"/>
      <w:pPr>
        <w:ind w:left="1644" w:hanging="360"/>
      </w:pPr>
      <w:rPr>
        <w:rFonts w:hint="default"/>
        <w:b/>
        <w:i w:val="0"/>
      </w:rPr>
    </w:lvl>
    <w:lvl w:ilvl="1" w:tplc="040B0019" w:tentative="1">
      <w:start w:val="1"/>
      <w:numFmt w:val="lowerLetter"/>
      <w:lvlText w:val="%2."/>
      <w:lvlJc w:val="left"/>
      <w:pPr>
        <w:ind w:left="2364" w:hanging="360"/>
      </w:pPr>
    </w:lvl>
    <w:lvl w:ilvl="2" w:tplc="040B001B" w:tentative="1">
      <w:start w:val="1"/>
      <w:numFmt w:val="lowerRoman"/>
      <w:lvlText w:val="%3."/>
      <w:lvlJc w:val="right"/>
      <w:pPr>
        <w:ind w:left="3084" w:hanging="180"/>
      </w:pPr>
    </w:lvl>
    <w:lvl w:ilvl="3" w:tplc="040B000F" w:tentative="1">
      <w:start w:val="1"/>
      <w:numFmt w:val="decimal"/>
      <w:lvlText w:val="%4."/>
      <w:lvlJc w:val="left"/>
      <w:pPr>
        <w:ind w:left="3804" w:hanging="360"/>
      </w:pPr>
    </w:lvl>
    <w:lvl w:ilvl="4" w:tplc="040B0019" w:tentative="1">
      <w:start w:val="1"/>
      <w:numFmt w:val="lowerLetter"/>
      <w:lvlText w:val="%5."/>
      <w:lvlJc w:val="left"/>
      <w:pPr>
        <w:ind w:left="4524" w:hanging="360"/>
      </w:pPr>
    </w:lvl>
    <w:lvl w:ilvl="5" w:tplc="040B001B" w:tentative="1">
      <w:start w:val="1"/>
      <w:numFmt w:val="lowerRoman"/>
      <w:lvlText w:val="%6."/>
      <w:lvlJc w:val="right"/>
      <w:pPr>
        <w:ind w:left="5244" w:hanging="180"/>
      </w:pPr>
    </w:lvl>
    <w:lvl w:ilvl="6" w:tplc="040B000F" w:tentative="1">
      <w:start w:val="1"/>
      <w:numFmt w:val="decimal"/>
      <w:lvlText w:val="%7."/>
      <w:lvlJc w:val="left"/>
      <w:pPr>
        <w:ind w:left="5964" w:hanging="360"/>
      </w:pPr>
    </w:lvl>
    <w:lvl w:ilvl="7" w:tplc="040B0019" w:tentative="1">
      <w:start w:val="1"/>
      <w:numFmt w:val="lowerLetter"/>
      <w:lvlText w:val="%8."/>
      <w:lvlJc w:val="left"/>
      <w:pPr>
        <w:ind w:left="6684" w:hanging="360"/>
      </w:pPr>
    </w:lvl>
    <w:lvl w:ilvl="8" w:tplc="040B001B" w:tentative="1">
      <w:start w:val="1"/>
      <w:numFmt w:val="lowerRoman"/>
      <w:lvlText w:val="%9."/>
      <w:lvlJc w:val="right"/>
      <w:pPr>
        <w:ind w:left="7404" w:hanging="180"/>
      </w:pPr>
    </w:lvl>
  </w:abstractNum>
  <w:abstractNum w:abstractNumId="3" w15:restartNumberingAfterBreak="0">
    <w:nsid w:val="2E967CFC"/>
    <w:multiLevelType w:val="hybridMultilevel"/>
    <w:tmpl w:val="2088786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887589B"/>
    <w:multiLevelType w:val="hybridMultilevel"/>
    <w:tmpl w:val="9FBA2DA4"/>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05C6F78"/>
    <w:multiLevelType w:val="multilevel"/>
    <w:tmpl w:val="7EECC2B0"/>
    <w:lvl w:ilvl="0">
      <w:start w:val="1"/>
      <w:numFmt w:val="decimal"/>
      <w:lvlText w:val="%1"/>
      <w:lvlJc w:val="left"/>
      <w:pPr>
        <w:ind w:left="432" w:hanging="432"/>
      </w:pPr>
      <w:rPr>
        <w:rFonts w:ascii="Arial Narrow" w:hAnsi="Arial Narrow" w:cs="Arial" w:hint="default"/>
        <w:b/>
        <w:bCs w:val="0"/>
        <w:i w:val="0"/>
        <w:iCs w:val="0"/>
        <w:caps w:val="0"/>
        <w:smallCaps w:val="0"/>
        <w:strike w:val="0"/>
        <w:dstrike w:val="0"/>
        <w:color w:val="294672"/>
        <w:spacing w:val="0"/>
        <w:w w:val="100"/>
        <w:kern w:val="0"/>
        <w:position w:val="0"/>
        <w:sz w:val="50"/>
        <w:szCs w:val="5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AE21CE4"/>
    <w:multiLevelType w:val="hybridMultilevel"/>
    <w:tmpl w:val="408C95FA"/>
    <w:lvl w:ilvl="0" w:tplc="26560C68">
      <w:start w:val="1"/>
      <w:numFmt w:val="bullet"/>
      <w:pStyle w:val="Listapallukka"/>
      <w:lvlText w:val=""/>
      <w:lvlJc w:val="left"/>
      <w:pPr>
        <w:ind w:left="1287" w:hanging="360"/>
      </w:pPr>
      <w:rPr>
        <w:rFonts w:ascii="Symbol" w:hAnsi="Symbol" w:hint="default"/>
        <w:color w:val="365F91" w:themeColor="accent1" w:themeShade="BF"/>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num w:numId="1">
    <w:abstractNumId w:val="0"/>
  </w:num>
  <w:num w:numId="2">
    <w:abstractNumId w:val="6"/>
  </w:num>
  <w:num w:numId="3">
    <w:abstractNumId w:val="5"/>
  </w:num>
  <w:num w:numId="4">
    <w:abstractNumId w:val="5"/>
  </w:num>
  <w:num w:numId="5">
    <w:abstractNumId w:val="5"/>
  </w:num>
  <w:num w:numId="6">
    <w:abstractNumId w:val="5"/>
  </w:num>
  <w:num w:numId="7">
    <w:abstractNumId w:val="2"/>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removePersonalInformation/>
  <w:removeDateAndTime/>
  <w:activeWritingStyle w:appName="MSWord" w:lang="fi-FI" w:vendorID="64" w:dllVersion="131078" w:nlCheck="1" w:checkStyle="0"/>
  <w:activeWritingStyle w:appName="MSWord" w:lang="en-GB" w:vendorID="64" w:dllVersion="131078" w:nlCheck="1" w:checkStyle="1"/>
  <w:proofState w:spelling="clean" w:grammar="clean"/>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48"/>
    <w:rsid w:val="00017999"/>
    <w:rsid w:val="00017F5F"/>
    <w:rsid w:val="00022CEC"/>
    <w:rsid w:val="00026B23"/>
    <w:rsid w:val="00050ECD"/>
    <w:rsid w:val="00071F7F"/>
    <w:rsid w:val="000867B0"/>
    <w:rsid w:val="00091176"/>
    <w:rsid w:val="00092C9C"/>
    <w:rsid w:val="00094418"/>
    <w:rsid w:val="000A0CE3"/>
    <w:rsid w:val="000F4852"/>
    <w:rsid w:val="00101DC0"/>
    <w:rsid w:val="00113B5B"/>
    <w:rsid w:val="001170AB"/>
    <w:rsid w:val="00134FD6"/>
    <w:rsid w:val="00136F44"/>
    <w:rsid w:val="00153349"/>
    <w:rsid w:val="0015523C"/>
    <w:rsid w:val="001637FB"/>
    <w:rsid w:val="001838B4"/>
    <w:rsid w:val="001846F1"/>
    <w:rsid w:val="001850BB"/>
    <w:rsid w:val="00185E2B"/>
    <w:rsid w:val="001865D3"/>
    <w:rsid w:val="001A54BA"/>
    <w:rsid w:val="001A5F89"/>
    <w:rsid w:val="001C1C41"/>
    <w:rsid w:val="001D1D1A"/>
    <w:rsid w:val="001E3AD2"/>
    <w:rsid w:val="0020401A"/>
    <w:rsid w:val="0020613C"/>
    <w:rsid w:val="00215490"/>
    <w:rsid w:val="0023779B"/>
    <w:rsid w:val="00261F58"/>
    <w:rsid w:val="0026582B"/>
    <w:rsid w:val="002818A9"/>
    <w:rsid w:val="002A2C16"/>
    <w:rsid w:val="002B499B"/>
    <w:rsid w:val="002C0532"/>
    <w:rsid w:val="00311529"/>
    <w:rsid w:val="003161C1"/>
    <w:rsid w:val="0033627F"/>
    <w:rsid w:val="00352C14"/>
    <w:rsid w:val="00357F38"/>
    <w:rsid w:val="00364B04"/>
    <w:rsid w:val="00377C7B"/>
    <w:rsid w:val="00397113"/>
    <w:rsid w:val="003A05E0"/>
    <w:rsid w:val="003B16EA"/>
    <w:rsid w:val="003B3EF9"/>
    <w:rsid w:val="003C4A80"/>
    <w:rsid w:val="003D7B94"/>
    <w:rsid w:val="00400CAC"/>
    <w:rsid w:val="00406C8E"/>
    <w:rsid w:val="00443DF8"/>
    <w:rsid w:val="0045706C"/>
    <w:rsid w:val="00462424"/>
    <w:rsid w:val="00467E08"/>
    <w:rsid w:val="00471B8D"/>
    <w:rsid w:val="0048235F"/>
    <w:rsid w:val="00482B9D"/>
    <w:rsid w:val="00495564"/>
    <w:rsid w:val="004A6755"/>
    <w:rsid w:val="004B7E87"/>
    <w:rsid w:val="004E486B"/>
    <w:rsid w:val="004E4EC2"/>
    <w:rsid w:val="004F2948"/>
    <w:rsid w:val="004F5ADD"/>
    <w:rsid w:val="005205C3"/>
    <w:rsid w:val="0055333E"/>
    <w:rsid w:val="00557701"/>
    <w:rsid w:val="005850CC"/>
    <w:rsid w:val="005B13C4"/>
    <w:rsid w:val="005C31B1"/>
    <w:rsid w:val="00602C33"/>
    <w:rsid w:val="00611E67"/>
    <w:rsid w:val="00612EF4"/>
    <w:rsid w:val="006233E1"/>
    <w:rsid w:val="00655733"/>
    <w:rsid w:val="00661C14"/>
    <w:rsid w:val="0067403D"/>
    <w:rsid w:val="006802B0"/>
    <w:rsid w:val="006B71B3"/>
    <w:rsid w:val="006D1550"/>
    <w:rsid w:val="006D36AC"/>
    <w:rsid w:val="006E1C2A"/>
    <w:rsid w:val="006E5F42"/>
    <w:rsid w:val="006F2C2D"/>
    <w:rsid w:val="007045A4"/>
    <w:rsid w:val="0072548A"/>
    <w:rsid w:val="00730DBA"/>
    <w:rsid w:val="0073536B"/>
    <w:rsid w:val="00751655"/>
    <w:rsid w:val="00757DCD"/>
    <w:rsid w:val="00762B5E"/>
    <w:rsid w:val="007A6196"/>
    <w:rsid w:val="007B5802"/>
    <w:rsid w:val="007B5CAB"/>
    <w:rsid w:val="007F04C7"/>
    <w:rsid w:val="00807509"/>
    <w:rsid w:val="008148E7"/>
    <w:rsid w:val="00816342"/>
    <w:rsid w:val="00822E8C"/>
    <w:rsid w:val="00833AC7"/>
    <w:rsid w:val="0084228E"/>
    <w:rsid w:val="00843679"/>
    <w:rsid w:val="00845A94"/>
    <w:rsid w:val="008654CF"/>
    <w:rsid w:val="00876B65"/>
    <w:rsid w:val="00893AD3"/>
    <w:rsid w:val="008A4466"/>
    <w:rsid w:val="008B558D"/>
    <w:rsid w:val="008C35B0"/>
    <w:rsid w:val="008E44A5"/>
    <w:rsid w:val="008F0984"/>
    <w:rsid w:val="0090320E"/>
    <w:rsid w:val="00933A6C"/>
    <w:rsid w:val="00936B7F"/>
    <w:rsid w:val="00940057"/>
    <w:rsid w:val="00941702"/>
    <w:rsid w:val="00951A5A"/>
    <w:rsid w:val="009628A8"/>
    <w:rsid w:val="00972843"/>
    <w:rsid w:val="0099770A"/>
    <w:rsid w:val="009A0361"/>
    <w:rsid w:val="009A3699"/>
    <w:rsid w:val="009A746F"/>
    <w:rsid w:val="009B1DD8"/>
    <w:rsid w:val="009E3054"/>
    <w:rsid w:val="009F517E"/>
    <w:rsid w:val="00A31E09"/>
    <w:rsid w:val="00A37F96"/>
    <w:rsid w:val="00A40BFF"/>
    <w:rsid w:val="00A410EC"/>
    <w:rsid w:val="00A47442"/>
    <w:rsid w:val="00A61837"/>
    <w:rsid w:val="00A63CCF"/>
    <w:rsid w:val="00A74B53"/>
    <w:rsid w:val="00A818DC"/>
    <w:rsid w:val="00A94B48"/>
    <w:rsid w:val="00AE6082"/>
    <w:rsid w:val="00AE6131"/>
    <w:rsid w:val="00AF21A7"/>
    <w:rsid w:val="00B1527B"/>
    <w:rsid w:val="00B15BEF"/>
    <w:rsid w:val="00B55573"/>
    <w:rsid w:val="00B62031"/>
    <w:rsid w:val="00B717AA"/>
    <w:rsid w:val="00B76E13"/>
    <w:rsid w:val="00B7708E"/>
    <w:rsid w:val="00B80584"/>
    <w:rsid w:val="00B8151D"/>
    <w:rsid w:val="00B9409F"/>
    <w:rsid w:val="00BF5055"/>
    <w:rsid w:val="00C458C6"/>
    <w:rsid w:val="00C662D2"/>
    <w:rsid w:val="00C918B9"/>
    <w:rsid w:val="00CD3487"/>
    <w:rsid w:val="00CE51BB"/>
    <w:rsid w:val="00D04BEC"/>
    <w:rsid w:val="00D313CB"/>
    <w:rsid w:val="00D354E2"/>
    <w:rsid w:val="00D600F9"/>
    <w:rsid w:val="00D8248F"/>
    <w:rsid w:val="00DA5D56"/>
    <w:rsid w:val="00DB54D9"/>
    <w:rsid w:val="00DC37E3"/>
    <w:rsid w:val="00DD7965"/>
    <w:rsid w:val="00DE400F"/>
    <w:rsid w:val="00DF1A58"/>
    <w:rsid w:val="00DF6E16"/>
    <w:rsid w:val="00E32633"/>
    <w:rsid w:val="00E3552E"/>
    <w:rsid w:val="00E40C04"/>
    <w:rsid w:val="00E50DD7"/>
    <w:rsid w:val="00E52B44"/>
    <w:rsid w:val="00E61398"/>
    <w:rsid w:val="00E61A7D"/>
    <w:rsid w:val="00E713FA"/>
    <w:rsid w:val="00EC3C88"/>
    <w:rsid w:val="00EE4302"/>
    <w:rsid w:val="00F74100"/>
    <w:rsid w:val="00F7450A"/>
    <w:rsid w:val="00F80CC3"/>
    <w:rsid w:val="00F81599"/>
    <w:rsid w:val="00F93163"/>
    <w:rsid w:val="00F96D45"/>
    <w:rsid w:val="00FA0D98"/>
    <w:rsid w:val="00FB652F"/>
    <w:rsid w:val="00FC6C82"/>
    <w:rsid w:val="00FF5D38"/>
    <w:rsid w:val="08BA43C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E9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99"/>
    <w:semiHidden/>
    <w:qFormat/>
    <w:rsid w:val="00822E8C"/>
    <w:rPr>
      <w:sz w:val="24"/>
      <w:szCs w:val="24"/>
      <w:lang w:val="en-GB" w:eastAsia="en-US"/>
    </w:rPr>
  </w:style>
  <w:style w:type="paragraph" w:styleId="Otsikko1">
    <w:name w:val="heading 1"/>
    <w:basedOn w:val="Normaali"/>
    <w:next w:val="Leipteksti"/>
    <w:link w:val="Otsikko1Char"/>
    <w:uiPriority w:val="4"/>
    <w:qFormat/>
    <w:rsid w:val="00E61A7D"/>
    <w:pPr>
      <w:suppressAutoHyphens/>
      <w:spacing w:before="400" w:after="283" w:line="560" w:lineRule="atLeast"/>
      <w:outlineLvl w:val="0"/>
    </w:pPr>
    <w:rPr>
      <w:rFonts w:ascii="Arial Narrow" w:hAnsi="Arial Narrow"/>
      <w:b/>
      <w:color w:val="002F6C"/>
      <w:sz w:val="50"/>
      <w:szCs w:val="20"/>
      <w:lang w:val="fi-FI" w:eastAsia="fi-FI"/>
    </w:rPr>
  </w:style>
  <w:style w:type="paragraph" w:styleId="Otsikko2">
    <w:name w:val="heading 2"/>
    <w:basedOn w:val="Normaali"/>
    <w:next w:val="Leipteksti"/>
    <w:link w:val="Otsikko2Char"/>
    <w:uiPriority w:val="4"/>
    <w:qFormat/>
    <w:rsid w:val="00933A6C"/>
    <w:pPr>
      <w:keepNext/>
      <w:suppressAutoHyphens/>
      <w:spacing w:before="300" w:after="170" w:line="340" w:lineRule="atLeast"/>
      <w:outlineLvl w:val="1"/>
    </w:pPr>
    <w:rPr>
      <w:rFonts w:ascii="Arial Narrow" w:hAnsi="Arial Narrow"/>
      <w:b/>
      <w:color w:val="002F6C"/>
      <w:spacing w:val="10"/>
      <w:sz w:val="38"/>
      <w:szCs w:val="20"/>
      <w:lang w:val="fi-FI"/>
    </w:rPr>
  </w:style>
  <w:style w:type="paragraph" w:styleId="Otsikko3">
    <w:name w:val="heading 3"/>
    <w:basedOn w:val="Normaali"/>
    <w:next w:val="Leipteksti"/>
    <w:link w:val="Otsikko3Char"/>
    <w:uiPriority w:val="4"/>
    <w:qFormat/>
    <w:rsid w:val="00E61A7D"/>
    <w:pPr>
      <w:keepNext/>
      <w:spacing w:before="240" w:after="100" w:line="301" w:lineRule="atLeast"/>
      <w:outlineLvl w:val="2"/>
    </w:pPr>
    <w:rPr>
      <w:rFonts w:ascii="Arial Narrow" w:hAnsi="Arial Narrow" w:cs="Arial"/>
      <w:b/>
      <w:bCs/>
      <w:color w:val="002F6C"/>
      <w:spacing w:val="8"/>
      <w:position w:val="10"/>
      <w:sz w:val="33"/>
      <w:szCs w:val="26"/>
      <w:lang w:val="fi-FI"/>
    </w:rPr>
  </w:style>
  <w:style w:type="paragraph" w:styleId="Otsikko4">
    <w:name w:val="heading 4"/>
    <w:basedOn w:val="Normaali"/>
    <w:next w:val="Leipteksti"/>
    <w:link w:val="Otsikko4Char"/>
    <w:uiPriority w:val="4"/>
    <w:qFormat/>
    <w:rsid w:val="00E61A7D"/>
    <w:pPr>
      <w:keepNext/>
      <w:spacing w:before="240" w:after="100" w:line="301" w:lineRule="atLeast"/>
      <w:jc w:val="both"/>
      <w:outlineLvl w:val="3"/>
    </w:pPr>
    <w:rPr>
      <w:rFonts w:ascii="Arial Narrow" w:hAnsi="Arial Narrow"/>
      <w:color w:val="002F6C"/>
      <w:sz w:val="26"/>
      <w:szCs w:val="20"/>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4"/>
    <w:rsid w:val="00E61A7D"/>
    <w:rPr>
      <w:rFonts w:ascii="Arial Narrow" w:hAnsi="Arial Narrow"/>
      <w:b/>
      <w:color w:val="002F6C"/>
      <w:sz w:val="50"/>
    </w:rPr>
  </w:style>
  <w:style w:type="paragraph" w:styleId="Yltunniste">
    <w:name w:val="header"/>
    <w:basedOn w:val="Normaali"/>
    <w:link w:val="YltunnisteChar"/>
    <w:uiPriority w:val="99"/>
    <w:locked/>
    <w:rsid w:val="006233E1"/>
    <w:pPr>
      <w:tabs>
        <w:tab w:val="center" w:pos="4819"/>
        <w:tab w:val="right" w:pos="9638"/>
      </w:tabs>
    </w:pPr>
  </w:style>
  <w:style w:type="character" w:customStyle="1" w:styleId="YltunnisteChar">
    <w:name w:val="Ylätunniste Char"/>
    <w:basedOn w:val="Kappaleenoletusfontti"/>
    <w:link w:val="Yltunniste"/>
    <w:uiPriority w:val="99"/>
    <w:rsid w:val="00751655"/>
    <w:rPr>
      <w:sz w:val="24"/>
      <w:szCs w:val="24"/>
      <w:lang w:val="en-GB" w:eastAsia="en-US"/>
    </w:rPr>
  </w:style>
  <w:style w:type="paragraph" w:styleId="Alatunniste">
    <w:name w:val="footer"/>
    <w:aliases w:val="b_Alatunniste"/>
    <w:basedOn w:val="Normaali"/>
    <w:link w:val="AlatunnisteChar"/>
    <w:uiPriority w:val="99"/>
    <w:locked/>
    <w:rsid w:val="00655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Pr>
      <w:rFonts w:ascii="Arial" w:hAnsi="Arial" w:cstheme="minorHAnsi"/>
      <w:color w:val="808080" w:themeColor="background1" w:themeShade="80"/>
      <w:sz w:val="17"/>
      <w:szCs w:val="18"/>
    </w:rPr>
  </w:style>
  <w:style w:type="character" w:customStyle="1" w:styleId="AlatunnisteChar">
    <w:name w:val="Alatunniste Char"/>
    <w:aliases w:val="b_Alatunniste Char"/>
    <w:basedOn w:val="Kappaleenoletusfontti"/>
    <w:link w:val="Alatunniste"/>
    <w:uiPriority w:val="99"/>
    <w:rsid w:val="00751655"/>
    <w:rPr>
      <w:rFonts w:ascii="Arial" w:hAnsi="Arial" w:cstheme="minorHAnsi"/>
      <w:color w:val="808080" w:themeColor="background1" w:themeShade="80"/>
      <w:sz w:val="17"/>
      <w:szCs w:val="18"/>
      <w:lang w:val="en-GB" w:eastAsia="en-US"/>
    </w:rPr>
  </w:style>
  <w:style w:type="paragraph" w:customStyle="1" w:styleId="Leipteksti">
    <w:name w:val="_Leipäteksti"/>
    <w:basedOn w:val="Normaali"/>
    <w:qFormat/>
    <w:rsid w:val="00941702"/>
    <w:pPr>
      <w:spacing w:before="240" w:after="320" w:line="290" w:lineRule="atLeast"/>
    </w:pPr>
    <w:rPr>
      <w:rFonts w:ascii="Arial" w:hAnsi="Arial" w:cs="Myriad Pro"/>
      <w:spacing w:val="1"/>
      <w:sz w:val="20"/>
      <w:szCs w:val="20"/>
      <w:lang w:val="fi-FI" w:eastAsia="fi-FI"/>
    </w:rPr>
  </w:style>
  <w:style w:type="paragraph" w:styleId="Alaotsikko">
    <w:name w:val="Subtitle"/>
    <w:basedOn w:val="Normaali"/>
    <w:next w:val="Normaali"/>
    <w:link w:val="AlaotsikkoChar"/>
    <w:uiPriority w:val="11"/>
    <w:semiHidden/>
    <w:qFormat/>
    <w:locked/>
    <w:rsid w:val="00DF1A58"/>
    <w:pPr>
      <w:numPr>
        <w:ilvl w:val="1"/>
      </w:numPr>
      <w:spacing w:after="160"/>
    </w:pPr>
    <w:rPr>
      <w:rFonts w:asciiTheme="minorHAnsi" w:eastAsiaTheme="minorEastAsia" w:hAnsiTheme="minorHAnsi" w:cstheme="minorBidi"/>
      <w:color w:val="5A5A5A" w:themeColor="text1" w:themeTint="A5"/>
      <w:spacing w:val="15"/>
      <w:sz w:val="22"/>
      <w:szCs w:val="22"/>
    </w:rPr>
  </w:style>
  <w:style w:type="paragraph" w:customStyle="1" w:styleId="Listanumero">
    <w:name w:val="Lista_numero"/>
    <w:basedOn w:val="Normaali"/>
    <w:qFormat/>
    <w:rsid w:val="00941702"/>
    <w:pPr>
      <w:numPr>
        <w:numId w:val="7"/>
      </w:numPr>
      <w:tabs>
        <w:tab w:val="left" w:pos="227"/>
        <w:tab w:val="left" w:pos="397"/>
        <w:tab w:val="left" w:pos="794"/>
        <w:tab w:val="left" w:pos="1020"/>
      </w:tabs>
      <w:spacing w:line="280" w:lineRule="atLeast"/>
    </w:pPr>
    <w:rPr>
      <w:rFonts w:ascii="Arial" w:hAnsi="Arial" w:cs="Myriad Pro"/>
      <w:sz w:val="20"/>
      <w:szCs w:val="20"/>
      <w:lang w:val="fi-FI" w:eastAsia="fi-FI"/>
    </w:rPr>
  </w:style>
  <w:style w:type="paragraph" w:customStyle="1" w:styleId="Listapallukka">
    <w:name w:val="Lista_pallukka"/>
    <w:basedOn w:val="Normaali"/>
    <w:qFormat/>
    <w:rsid w:val="00941702"/>
    <w:pPr>
      <w:numPr>
        <w:numId w:val="2"/>
      </w:numPr>
      <w:tabs>
        <w:tab w:val="left" w:pos="1276"/>
      </w:tabs>
      <w:autoSpaceDE w:val="0"/>
      <w:autoSpaceDN w:val="0"/>
      <w:adjustRightInd w:val="0"/>
      <w:spacing w:line="280" w:lineRule="atLeast"/>
      <w:textAlignment w:val="center"/>
    </w:pPr>
    <w:rPr>
      <w:rFonts w:ascii="Arial" w:hAnsi="Arial" w:cs="Myriad Pro"/>
      <w:sz w:val="20"/>
      <w:szCs w:val="20"/>
      <w:lang w:val="fi-FI" w:eastAsia="fi-FI"/>
    </w:rPr>
  </w:style>
  <w:style w:type="paragraph" w:customStyle="1" w:styleId="Alaviite">
    <w:name w:val="Alaviite"/>
    <w:basedOn w:val="Normaali"/>
    <w:link w:val="AlaviiteChar"/>
    <w:uiPriority w:val="99"/>
    <w:semiHidden/>
    <w:qFormat/>
    <w:locked/>
    <w:rsid w:val="00941702"/>
    <w:pPr>
      <w:jc w:val="both"/>
    </w:pPr>
    <w:rPr>
      <w:rFonts w:ascii="Arial" w:hAnsi="Arial"/>
      <w:sz w:val="18"/>
      <w:szCs w:val="20"/>
      <w:lang w:val="fi-FI" w:eastAsia="fi-FI"/>
    </w:rPr>
  </w:style>
  <w:style w:type="character" w:customStyle="1" w:styleId="AlaviiteChar">
    <w:name w:val="Alaviite Char"/>
    <w:basedOn w:val="Kappaleenoletusfontti"/>
    <w:link w:val="Alaviite"/>
    <w:uiPriority w:val="99"/>
    <w:semiHidden/>
    <w:rsid w:val="00751655"/>
    <w:rPr>
      <w:rFonts w:ascii="Arial" w:hAnsi="Arial"/>
      <w:sz w:val="18"/>
    </w:rPr>
  </w:style>
  <w:style w:type="paragraph" w:customStyle="1" w:styleId="Lainausteksti">
    <w:name w:val="Lainaus_teksti"/>
    <w:basedOn w:val="Leipteksti"/>
    <w:qFormat/>
    <w:rsid w:val="00933A6C"/>
    <w:pPr>
      <w:ind w:left="510"/>
    </w:pPr>
    <w:rPr>
      <w:i/>
    </w:rPr>
  </w:style>
  <w:style w:type="character" w:customStyle="1" w:styleId="AlaotsikkoChar">
    <w:name w:val="Alaotsikko Char"/>
    <w:basedOn w:val="Kappaleenoletusfontti"/>
    <w:link w:val="Alaotsikko"/>
    <w:uiPriority w:val="11"/>
    <w:semiHidden/>
    <w:rsid w:val="00751655"/>
    <w:rPr>
      <w:rFonts w:asciiTheme="minorHAnsi" w:eastAsiaTheme="minorEastAsia" w:hAnsiTheme="minorHAnsi" w:cstheme="minorBidi"/>
      <w:color w:val="5A5A5A" w:themeColor="text1" w:themeTint="A5"/>
      <w:spacing w:val="15"/>
      <w:sz w:val="22"/>
      <w:szCs w:val="22"/>
      <w:lang w:val="en-GB" w:eastAsia="en-US"/>
    </w:rPr>
  </w:style>
  <w:style w:type="paragraph" w:customStyle="1" w:styleId="bAlatunnistenumero">
    <w:name w:val="b_Alatunniste_numero"/>
    <w:basedOn w:val="Alatunniste"/>
    <w:semiHidden/>
    <w:qFormat/>
    <w:locked/>
    <w:rsid w:val="00730DBA"/>
    <w:pPr>
      <w:spacing w:before="120"/>
      <w:jc w:val="center"/>
    </w:pPr>
  </w:style>
  <w:style w:type="paragraph" w:customStyle="1" w:styleId="Kuvateksti">
    <w:name w:val="Kuvateksti"/>
    <w:basedOn w:val="Normaali"/>
    <w:next w:val="Leipteksti"/>
    <w:qFormat/>
    <w:rsid w:val="00933A6C"/>
    <w:pPr>
      <w:autoSpaceDE w:val="0"/>
      <w:autoSpaceDN w:val="0"/>
      <w:adjustRightInd w:val="0"/>
      <w:spacing w:after="440" w:line="220" w:lineRule="atLeast"/>
      <w:textAlignment w:val="center"/>
    </w:pPr>
    <w:rPr>
      <w:rFonts w:ascii="Arial Narrow" w:hAnsi="Arial Narrow" w:cs="Myriad Pro Light"/>
      <w:b/>
      <w:spacing w:val="1"/>
      <w:position w:val="-10"/>
      <w:sz w:val="18"/>
      <w:szCs w:val="18"/>
      <w:lang w:val="fi-FI"/>
    </w:rPr>
  </w:style>
  <w:style w:type="paragraph" w:customStyle="1" w:styleId="bdokumentintiedot">
    <w:name w:val="b_dokumentin tiedot"/>
    <w:basedOn w:val="Normaali"/>
    <w:uiPriority w:val="2"/>
    <w:semiHidden/>
    <w:locked/>
    <w:rsid w:val="00DF1A58"/>
    <w:pPr>
      <w:suppressAutoHyphens/>
      <w:autoSpaceDE w:val="0"/>
      <w:autoSpaceDN w:val="0"/>
      <w:adjustRightInd w:val="0"/>
      <w:spacing w:line="224" w:lineRule="atLeast"/>
      <w:textAlignment w:val="center"/>
    </w:pPr>
    <w:rPr>
      <w:rFonts w:ascii="Arial Narrow" w:hAnsi="Arial Narrow" w:cs="Myriad Pro Cond"/>
      <w:spacing w:val="4"/>
      <w:sz w:val="18"/>
      <w:szCs w:val="18"/>
      <w:u w:color="000000"/>
      <w:lang w:val="fi-FI" w:eastAsia="fi-FI"/>
    </w:rPr>
  </w:style>
  <w:style w:type="table" w:customStyle="1" w:styleId="CTaulukkoVNK">
    <w:name w:val="C_Taulukko VNK"/>
    <w:basedOn w:val="Normaalitaulukko"/>
    <w:uiPriority w:val="99"/>
    <w:rsid w:val="00941702"/>
    <w:pPr>
      <w:spacing w:line="224" w:lineRule="atLeast"/>
    </w:pPr>
    <w:rPr>
      <w:rFonts w:ascii="Arial Narrow" w:hAnsi="Arial Narrow"/>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jc w:val="center"/>
      </w:pPr>
      <w:rPr>
        <w:color w:val="FFFFFF" w:themeColor="background1"/>
        <w:sz w:val="20"/>
      </w:rPr>
      <w:tblPr/>
      <w:tcPr>
        <w:shd w:val="clear" w:color="auto" w:fill="294672"/>
      </w:tcPr>
    </w:tblStylePr>
  </w:style>
  <w:style w:type="character" w:customStyle="1" w:styleId="Otsikko2Char">
    <w:name w:val="Otsikko 2 Char"/>
    <w:basedOn w:val="Kappaleenoletusfontti"/>
    <w:link w:val="Otsikko2"/>
    <w:uiPriority w:val="4"/>
    <w:rsid w:val="00933A6C"/>
    <w:rPr>
      <w:rFonts w:ascii="Arial Narrow" w:hAnsi="Arial Narrow"/>
      <w:b/>
      <w:color w:val="002F6C"/>
      <w:spacing w:val="10"/>
      <w:sz w:val="38"/>
      <w:lang w:eastAsia="en-US"/>
    </w:rPr>
  </w:style>
  <w:style w:type="character" w:customStyle="1" w:styleId="Otsikko3Char">
    <w:name w:val="Otsikko 3 Char"/>
    <w:basedOn w:val="Kappaleenoletusfontti"/>
    <w:link w:val="Otsikko3"/>
    <w:uiPriority w:val="4"/>
    <w:rsid w:val="00E61A7D"/>
    <w:rPr>
      <w:rFonts w:ascii="Arial Narrow" w:hAnsi="Arial Narrow" w:cs="Arial"/>
      <w:b/>
      <w:bCs/>
      <w:color w:val="002F6C"/>
      <w:spacing w:val="8"/>
      <w:position w:val="10"/>
      <w:sz w:val="33"/>
      <w:szCs w:val="26"/>
      <w:lang w:eastAsia="en-US"/>
    </w:rPr>
  </w:style>
  <w:style w:type="character" w:customStyle="1" w:styleId="Otsikko4Char">
    <w:name w:val="Otsikko 4 Char"/>
    <w:basedOn w:val="Kappaleenoletusfontti"/>
    <w:link w:val="Otsikko4"/>
    <w:uiPriority w:val="4"/>
    <w:rsid w:val="00E61A7D"/>
    <w:rPr>
      <w:rFonts w:ascii="Arial Narrow" w:hAnsi="Arial Narrow"/>
      <w:color w:val="002F6C"/>
      <w:sz w:val="26"/>
      <w:lang w:eastAsia="en-US"/>
    </w:rPr>
  </w:style>
  <w:style w:type="paragraph" w:styleId="Luettelokappale">
    <w:name w:val="List Paragraph"/>
    <w:basedOn w:val="Normaali"/>
    <w:uiPriority w:val="34"/>
    <w:semiHidden/>
    <w:qFormat/>
    <w:locked/>
    <w:rsid w:val="00050ECD"/>
    <w:pPr>
      <w:ind w:left="720"/>
      <w:contextualSpacing/>
    </w:pPr>
  </w:style>
  <w:style w:type="paragraph" w:styleId="Loppuviitteenteksti">
    <w:name w:val="endnote text"/>
    <w:basedOn w:val="Normaali"/>
    <w:link w:val="LoppuviitteentekstiChar"/>
    <w:uiPriority w:val="99"/>
    <w:semiHidden/>
    <w:unhideWhenUsed/>
    <w:rsid w:val="00AF21A7"/>
    <w:rPr>
      <w:sz w:val="20"/>
      <w:szCs w:val="20"/>
    </w:rPr>
  </w:style>
  <w:style w:type="character" w:customStyle="1" w:styleId="LoppuviitteentekstiChar">
    <w:name w:val="Loppuviitteen teksti Char"/>
    <w:basedOn w:val="Kappaleenoletusfontti"/>
    <w:link w:val="Loppuviitteenteksti"/>
    <w:uiPriority w:val="99"/>
    <w:semiHidden/>
    <w:rsid w:val="00AF21A7"/>
    <w:rPr>
      <w:lang w:val="en-GB" w:eastAsia="en-US"/>
    </w:rPr>
  </w:style>
  <w:style w:type="character" w:styleId="Loppuviitteenviite">
    <w:name w:val="endnote reference"/>
    <w:basedOn w:val="Kappaleenoletusfontti"/>
    <w:uiPriority w:val="99"/>
    <w:semiHidden/>
    <w:unhideWhenUsed/>
    <w:rsid w:val="00AF21A7"/>
    <w:rPr>
      <w:vertAlign w:val="superscript"/>
    </w:rPr>
  </w:style>
  <w:style w:type="paragraph" w:styleId="Alaviitteenteksti">
    <w:name w:val="footnote text"/>
    <w:basedOn w:val="Normaali"/>
    <w:link w:val="AlaviitteentekstiChar"/>
    <w:uiPriority w:val="99"/>
    <w:semiHidden/>
    <w:rsid w:val="006B71B3"/>
    <w:rPr>
      <w:rFonts w:ascii="Arial" w:hAnsi="Arial"/>
      <w:sz w:val="18"/>
      <w:szCs w:val="20"/>
    </w:rPr>
  </w:style>
  <w:style w:type="character" w:customStyle="1" w:styleId="AlaviitteentekstiChar">
    <w:name w:val="Alaviitteen teksti Char"/>
    <w:basedOn w:val="Kappaleenoletusfontti"/>
    <w:link w:val="Alaviitteenteksti"/>
    <w:uiPriority w:val="99"/>
    <w:semiHidden/>
    <w:rsid w:val="00730DBA"/>
    <w:rPr>
      <w:rFonts w:ascii="Arial" w:hAnsi="Arial"/>
      <w:sz w:val="18"/>
      <w:lang w:val="en-GB" w:eastAsia="en-US"/>
    </w:rPr>
  </w:style>
  <w:style w:type="character" w:styleId="Alaviitteenviite">
    <w:name w:val="footnote reference"/>
    <w:basedOn w:val="Kappaleenoletusfontti"/>
    <w:uiPriority w:val="99"/>
    <w:semiHidden/>
    <w:unhideWhenUsed/>
    <w:rsid w:val="00AF21A7"/>
    <w:rPr>
      <w:vertAlign w:val="superscript"/>
    </w:rPr>
  </w:style>
  <w:style w:type="table" w:styleId="TaulukkoRuudukko">
    <w:name w:val="Table Grid"/>
    <w:basedOn w:val="Normaalitaulukko"/>
    <w:uiPriority w:val="59"/>
    <w:rsid w:val="003B16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F7450A"/>
    <w:rPr>
      <w:color w:val="808080"/>
    </w:rPr>
  </w:style>
  <w:style w:type="character" w:styleId="Hienovarainenviittaus">
    <w:name w:val="Subtle Reference"/>
    <w:basedOn w:val="Kappaleenoletusfontti"/>
    <w:uiPriority w:val="31"/>
    <w:semiHidden/>
    <w:qFormat/>
    <w:locked/>
    <w:rsid w:val="00F7450A"/>
    <w:rPr>
      <w:smallCaps/>
      <w:color w:val="5A5A5A" w:themeColor="text1" w:themeTint="A5"/>
    </w:rPr>
  </w:style>
  <w:style w:type="character" w:customStyle="1" w:styleId="bPivmrnvalitsin">
    <w:name w:val="b_Päivämäärän valitsin"/>
    <w:basedOn w:val="Kappaleenoletusfontti"/>
    <w:uiPriority w:val="1"/>
    <w:semiHidden/>
    <w:locked/>
    <w:rsid w:val="00F7450A"/>
    <w:rPr>
      <w:color w:val="365ABD"/>
    </w:rPr>
  </w:style>
  <w:style w:type="character" w:styleId="Hyperlinkki">
    <w:name w:val="Hyperlink"/>
    <w:uiPriority w:val="99"/>
    <w:unhideWhenUsed/>
    <w:qFormat/>
    <w:rsid w:val="00E61A7D"/>
    <w:rPr>
      <w:color w:val="002F6C"/>
      <w:u w:val="none"/>
    </w:rPr>
  </w:style>
  <w:style w:type="character" w:styleId="AvattuHyperlinkki">
    <w:name w:val="FollowedHyperlink"/>
    <w:basedOn w:val="Kappaleenoletusfontti"/>
    <w:uiPriority w:val="99"/>
    <w:semiHidden/>
    <w:unhideWhenUsed/>
    <w:rsid w:val="009E3054"/>
    <w:rPr>
      <w:color w:val="800080" w:themeColor="followedHyperlink"/>
      <w:u w:val="single"/>
    </w:rPr>
  </w:style>
  <w:style w:type="paragraph" w:styleId="Sisllysluettelonotsikko">
    <w:name w:val="TOC Heading"/>
    <w:basedOn w:val="Otsikko1"/>
    <w:next w:val="Sisluet1"/>
    <w:uiPriority w:val="39"/>
    <w:qFormat/>
    <w:rsid w:val="00933A6C"/>
    <w:pPr>
      <w:keepNext/>
      <w:keepLines/>
      <w:suppressAutoHyphens w:val="0"/>
      <w:spacing w:before="240" w:after="0" w:line="240" w:lineRule="auto"/>
      <w:outlineLvl w:val="9"/>
    </w:pPr>
    <w:rPr>
      <w:rFonts w:eastAsiaTheme="majorEastAsia" w:cstheme="majorBidi"/>
      <w:sz w:val="34"/>
      <w:szCs w:val="32"/>
      <w:lang w:eastAsia="en-US"/>
    </w:rPr>
  </w:style>
  <w:style w:type="paragraph" w:styleId="Sisluet1">
    <w:name w:val="toc 1"/>
    <w:basedOn w:val="Normaali"/>
    <w:next w:val="Normaali"/>
    <w:autoRedefine/>
    <w:uiPriority w:val="39"/>
    <w:rsid w:val="00092C9C"/>
    <w:pPr>
      <w:tabs>
        <w:tab w:val="right" w:leader="dot" w:pos="7700"/>
      </w:tabs>
      <w:spacing w:before="340" w:after="80"/>
      <w:ind w:left="567" w:right="851" w:hanging="567"/>
    </w:pPr>
    <w:rPr>
      <w:rFonts w:ascii="Arial Narrow" w:hAnsi="Arial Narrow"/>
      <w:b/>
      <w:noProof/>
      <w:color w:val="002F6C"/>
      <w:sz w:val="26"/>
      <w:lang w:val="fi-FI"/>
    </w:rPr>
  </w:style>
  <w:style w:type="paragraph" w:styleId="Sisluet2">
    <w:name w:val="toc 2"/>
    <w:basedOn w:val="Sisluet1"/>
    <w:next w:val="Normaali"/>
    <w:autoRedefine/>
    <w:uiPriority w:val="39"/>
    <w:rsid w:val="00FF5D38"/>
    <w:pPr>
      <w:spacing w:before="40" w:after="100"/>
      <w:ind w:left="1134"/>
    </w:pPr>
    <w:rPr>
      <w:b w:val="0"/>
      <w:color w:val="auto"/>
      <w:sz w:val="21"/>
    </w:rPr>
  </w:style>
  <w:style w:type="paragraph" w:styleId="Sisluet3">
    <w:name w:val="toc 3"/>
    <w:basedOn w:val="Sisluet2"/>
    <w:next w:val="Normaali"/>
    <w:autoRedefine/>
    <w:uiPriority w:val="39"/>
    <w:semiHidden/>
    <w:rsid w:val="00FF5D38"/>
    <w:pPr>
      <w:spacing w:before="0"/>
      <w:ind w:left="1985" w:hanging="851"/>
    </w:pPr>
  </w:style>
  <w:style w:type="paragraph" w:styleId="Sisluet4">
    <w:name w:val="toc 4"/>
    <w:basedOn w:val="Sisluet3"/>
    <w:next w:val="Normaali"/>
    <w:autoRedefine/>
    <w:uiPriority w:val="39"/>
    <w:semiHidden/>
    <w:rsid w:val="00FF5D38"/>
    <w:pPr>
      <w:ind w:left="3062" w:hanging="1077"/>
    </w:pPr>
  </w:style>
  <w:style w:type="paragraph" w:styleId="Kuvaotsikko">
    <w:name w:val="caption"/>
    <w:basedOn w:val="Normaali"/>
    <w:next w:val="Leipteksti"/>
    <w:uiPriority w:val="35"/>
    <w:unhideWhenUsed/>
    <w:qFormat/>
    <w:rsid w:val="00A31E09"/>
    <w:pPr>
      <w:spacing w:after="440"/>
    </w:pPr>
    <w:rPr>
      <w:rFonts w:ascii="Arial Narrow" w:hAnsi="Arial Narrow"/>
      <w:b/>
      <w:iCs/>
      <w:sz w:val="18"/>
      <w:szCs w:val="18"/>
    </w:rPr>
  </w:style>
  <w:style w:type="paragraph" w:styleId="Seliteteksti">
    <w:name w:val="Balloon Text"/>
    <w:basedOn w:val="Normaali"/>
    <w:link w:val="SelitetekstiChar"/>
    <w:uiPriority w:val="99"/>
    <w:semiHidden/>
    <w:unhideWhenUsed/>
    <w:rsid w:val="004E4EC2"/>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4E4EC2"/>
    <w:rPr>
      <w:rFonts w:ascii="Segoe UI" w:hAnsi="Segoe UI" w:cs="Segoe UI"/>
      <w:sz w:val="18"/>
      <w:szCs w:val="18"/>
      <w:lang w:val="en-GB" w:eastAsia="en-US"/>
    </w:rPr>
  </w:style>
  <w:style w:type="character" w:styleId="Kommentinviite">
    <w:name w:val="annotation reference"/>
    <w:basedOn w:val="Kappaleenoletusfontti"/>
    <w:uiPriority w:val="99"/>
    <w:semiHidden/>
    <w:unhideWhenUsed/>
    <w:rsid w:val="00F80CC3"/>
    <w:rPr>
      <w:sz w:val="16"/>
      <w:szCs w:val="16"/>
    </w:rPr>
  </w:style>
  <w:style w:type="paragraph" w:styleId="Kommentinteksti">
    <w:name w:val="annotation text"/>
    <w:basedOn w:val="Normaali"/>
    <w:link w:val="KommentintekstiChar"/>
    <w:uiPriority w:val="99"/>
    <w:semiHidden/>
    <w:unhideWhenUsed/>
    <w:rsid w:val="00F80CC3"/>
    <w:rPr>
      <w:sz w:val="20"/>
      <w:szCs w:val="20"/>
    </w:rPr>
  </w:style>
  <w:style w:type="character" w:customStyle="1" w:styleId="KommentintekstiChar">
    <w:name w:val="Kommentin teksti Char"/>
    <w:basedOn w:val="Kappaleenoletusfontti"/>
    <w:link w:val="Kommentinteksti"/>
    <w:uiPriority w:val="99"/>
    <w:semiHidden/>
    <w:rsid w:val="00F80CC3"/>
    <w:rPr>
      <w:lang w:val="en-GB" w:eastAsia="en-US"/>
    </w:rPr>
  </w:style>
  <w:style w:type="paragraph" w:styleId="Kommentinotsikko">
    <w:name w:val="annotation subject"/>
    <w:basedOn w:val="Kommentinteksti"/>
    <w:next w:val="Kommentinteksti"/>
    <w:link w:val="KommentinotsikkoChar"/>
    <w:uiPriority w:val="99"/>
    <w:semiHidden/>
    <w:unhideWhenUsed/>
    <w:rsid w:val="00F80CC3"/>
    <w:rPr>
      <w:b/>
      <w:bCs/>
    </w:rPr>
  </w:style>
  <w:style w:type="character" w:customStyle="1" w:styleId="KommentinotsikkoChar">
    <w:name w:val="Kommentin otsikko Char"/>
    <w:basedOn w:val="KommentintekstiChar"/>
    <w:link w:val="Kommentinotsikko"/>
    <w:uiPriority w:val="99"/>
    <w:semiHidden/>
    <w:rsid w:val="00F80CC3"/>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6777">
      <w:bodyDiv w:val="1"/>
      <w:marLeft w:val="0"/>
      <w:marRight w:val="0"/>
      <w:marTop w:val="0"/>
      <w:marBottom w:val="0"/>
      <w:divBdr>
        <w:top w:val="none" w:sz="0" w:space="0" w:color="auto"/>
        <w:left w:val="none" w:sz="0" w:space="0" w:color="auto"/>
        <w:bottom w:val="none" w:sz="0" w:space="0" w:color="auto"/>
        <w:right w:val="none" w:sz="0" w:space="0" w:color="auto"/>
      </w:divBdr>
    </w:div>
    <w:div w:id="47149888">
      <w:bodyDiv w:val="1"/>
      <w:marLeft w:val="0"/>
      <w:marRight w:val="0"/>
      <w:marTop w:val="0"/>
      <w:marBottom w:val="0"/>
      <w:divBdr>
        <w:top w:val="none" w:sz="0" w:space="0" w:color="auto"/>
        <w:left w:val="none" w:sz="0" w:space="0" w:color="auto"/>
        <w:bottom w:val="none" w:sz="0" w:space="0" w:color="auto"/>
        <w:right w:val="none" w:sz="0" w:space="0" w:color="auto"/>
      </w:divBdr>
      <w:divsChild>
        <w:div w:id="1598901436">
          <w:marLeft w:val="0"/>
          <w:marRight w:val="0"/>
          <w:marTop w:val="0"/>
          <w:marBottom w:val="0"/>
          <w:divBdr>
            <w:top w:val="none" w:sz="0" w:space="0" w:color="auto"/>
            <w:left w:val="none" w:sz="0" w:space="0" w:color="auto"/>
            <w:bottom w:val="none" w:sz="0" w:space="0" w:color="auto"/>
            <w:right w:val="none" w:sz="0" w:space="0" w:color="auto"/>
          </w:divBdr>
        </w:div>
      </w:divsChild>
    </w:div>
    <w:div w:id="231889782">
      <w:bodyDiv w:val="1"/>
      <w:marLeft w:val="0"/>
      <w:marRight w:val="0"/>
      <w:marTop w:val="0"/>
      <w:marBottom w:val="0"/>
      <w:divBdr>
        <w:top w:val="none" w:sz="0" w:space="0" w:color="auto"/>
        <w:left w:val="none" w:sz="0" w:space="0" w:color="auto"/>
        <w:bottom w:val="none" w:sz="0" w:space="0" w:color="auto"/>
        <w:right w:val="none" w:sz="0" w:space="0" w:color="auto"/>
      </w:divBdr>
    </w:div>
    <w:div w:id="672102316">
      <w:bodyDiv w:val="1"/>
      <w:marLeft w:val="0"/>
      <w:marRight w:val="0"/>
      <w:marTop w:val="0"/>
      <w:marBottom w:val="0"/>
      <w:divBdr>
        <w:top w:val="none" w:sz="0" w:space="0" w:color="auto"/>
        <w:left w:val="none" w:sz="0" w:space="0" w:color="auto"/>
        <w:bottom w:val="none" w:sz="0" w:space="0" w:color="auto"/>
        <w:right w:val="none" w:sz="0" w:space="0" w:color="auto"/>
      </w:divBdr>
    </w:div>
    <w:div w:id="1112821222">
      <w:bodyDiv w:val="1"/>
      <w:marLeft w:val="0"/>
      <w:marRight w:val="0"/>
      <w:marTop w:val="0"/>
      <w:marBottom w:val="0"/>
      <w:divBdr>
        <w:top w:val="none" w:sz="0" w:space="0" w:color="auto"/>
        <w:left w:val="none" w:sz="0" w:space="0" w:color="auto"/>
        <w:bottom w:val="none" w:sz="0" w:space="0" w:color="auto"/>
        <w:right w:val="none" w:sz="0" w:space="0" w:color="auto"/>
      </w:divBdr>
    </w:div>
    <w:div w:id="1151485929">
      <w:bodyDiv w:val="1"/>
      <w:marLeft w:val="0"/>
      <w:marRight w:val="0"/>
      <w:marTop w:val="0"/>
      <w:marBottom w:val="0"/>
      <w:divBdr>
        <w:top w:val="none" w:sz="0" w:space="0" w:color="auto"/>
        <w:left w:val="none" w:sz="0" w:space="0" w:color="auto"/>
        <w:bottom w:val="none" w:sz="0" w:space="0" w:color="auto"/>
        <w:right w:val="none" w:sz="0" w:space="0" w:color="auto"/>
      </w:divBdr>
      <w:divsChild>
        <w:div w:id="182670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ulkaisut.valtioneuvosto.fi/bitstream/handle/10024/163762/VNTEAS_2022_6.pdf?sequence=1&amp;isAllowed=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fi:8443/documents/10623/164392567/Investointioppaan+liitelomake_yhteenveto06062023.xlsx/e4c9ef83-f181-071e-757d-b3c163365608?t=168674695351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3F1682CF9E49A1A744A5D27EC4558D"/>
        <w:category>
          <w:name w:val="Yleiset"/>
          <w:gallery w:val="placeholder"/>
        </w:category>
        <w:types>
          <w:type w:val="bbPlcHdr"/>
        </w:types>
        <w:behaviors>
          <w:behavior w:val="content"/>
        </w:behaviors>
        <w:guid w:val="{C1F057E9-0D28-44E7-95D5-B38F8064E219}"/>
      </w:docPartPr>
      <w:docPartBody>
        <w:p w:rsidR="00FC1FEC" w:rsidRDefault="00B069F9" w:rsidP="00B069F9">
          <w:pPr>
            <w:pStyle w:val="4D3F1682CF9E49A1A744A5D27EC4558D"/>
          </w:pPr>
          <w:r w:rsidRPr="00084C57">
            <w:rPr>
              <w:rStyle w:val="Paikkamerkkiteksti"/>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6D"/>
    <w:rsid w:val="00061508"/>
    <w:rsid w:val="00083F3C"/>
    <w:rsid w:val="000878A3"/>
    <w:rsid w:val="0009277A"/>
    <w:rsid w:val="000A73D0"/>
    <w:rsid w:val="000D6F98"/>
    <w:rsid w:val="001C30BF"/>
    <w:rsid w:val="00276498"/>
    <w:rsid w:val="002C4737"/>
    <w:rsid w:val="0031356D"/>
    <w:rsid w:val="003D3223"/>
    <w:rsid w:val="003E08B1"/>
    <w:rsid w:val="00462577"/>
    <w:rsid w:val="00567069"/>
    <w:rsid w:val="00876731"/>
    <w:rsid w:val="009A646E"/>
    <w:rsid w:val="009E4181"/>
    <w:rsid w:val="00A20879"/>
    <w:rsid w:val="00AB0C55"/>
    <w:rsid w:val="00B069F9"/>
    <w:rsid w:val="00B37416"/>
    <w:rsid w:val="00C15BA4"/>
    <w:rsid w:val="00DF4643"/>
    <w:rsid w:val="00E8013A"/>
    <w:rsid w:val="00F50363"/>
    <w:rsid w:val="00F82CAC"/>
    <w:rsid w:val="00F84738"/>
    <w:rsid w:val="00F85958"/>
    <w:rsid w:val="00F85DB6"/>
    <w:rsid w:val="00FC1FE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C1FEC"/>
    <w:rPr>
      <w:color w:val="808080"/>
    </w:rPr>
  </w:style>
  <w:style w:type="paragraph" w:customStyle="1" w:styleId="B9502D99EB31420DAAF4C8B7D62BC285">
    <w:name w:val="B9502D99EB31420DAAF4C8B7D62BC285"/>
    <w:rsid w:val="0031356D"/>
  </w:style>
  <w:style w:type="paragraph" w:customStyle="1" w:styleId="AEE7453EE9984704B0C97D47AD50C20A">
    <w:name w:val="AEE7453EE9984704B0C97D47AD50C20A"/>
    <w:rsid w:val="0031356D"/>
  </w:style>
  <w:style w:type="paragraph" w:customStyle="1" w:styleId="CB489EFD1D434397ACBC650CC08B8822">
    <w:name w:val="CB489EFD1D434397ACBC650CC08B8822"/>
    <w:rsid w:val="0031356D"/>
  </w:style>
  <w:style w:type="paragraph" w:customStyle="1" w:styleId="22861A8880C54A08B6BD97FBCADB4190">
    <w:name w:val="22861A8880C54A08B6BD97FBCADB4190"/>
    <w:rsid w:val="0031356D"/>
  </w:style>
  <w:style w:type="paragraph" w:customStyle="1" w:styleId="149861943C8B4FF9A4FDB17CDF47DE8D">
    <w:name w:val="149861943C8B4FF9A4FDB17CDF47DE8D"/>
    <w:rsid w:val="0031356D"/>
  </w:style>
  <w:style w:type="paragraph" w:customStyle="1" w:styleId="A82A32E249884F0799D8C8FBED4BF3E5">
    <w:name w:val="A82A32E249884F0799D8C8FBED4BF3E5"/>
    <w:rsid w:val="0031356D"/>
  </w:style>
  <w:style w:type="paragraph" w:customStyle="1" w:styleId="08879E75797D49C28EF125D5E423054E">
    <w:name w:val="08879E75797D49C28EF125D5E423054E"/>
    <w:rsid w:val="0031356D"/>
  </w:style>
  <w:style w:type="paragraph" w:customStyle="1" w:styleId="6DFE4F0DCDAD492E925D511B798A45D6">
    <w:name w:val="6DFE4F0DCDAD492E925D511B798A45D6"/>
    <w:rsid w:val="0031356D"/>
  </w:style>
  <w:style w:type="paragraph" w:customStyle="1" w:styleId="70B64FE8428A4E1389489421A6800087">
    <w:name w:val="70B64FE8428A4E1389489421A6800087"/>
    <w:rsid w:val="0031356D"/>
  </w:style>
  <w:style w:type="paragraph" w:customStyle="1" w:styleId="4B344E27A14141DC99ED1684E67DCA2F">
    <w:name w:val="4B344E27A14141DC99ED1684E67DCA2F"/>
    <w:rsid w:val="0031356D"/>
  </w:style>
  <w:style w:type="paragraph" w:customStyle="1" w:styleId="801AEF70182D4C25A4ADE2CFE3286BC5">
    <w:name w:val="801AEF70182D4C25A4ADE2CFE3286BC5"/>
    <w:rsid w:val="0031356D"/>
  </w:style>
  <w:style w:type="paragraph" w:customStyle="1" w:styleId="4163B0FDC5CF40BDBA1281FA58E74A22">
    <w:name w:val="4163B0FDC5CF40BDBA1281FA58E74A22"/>
    <w:rsid w:val="0031356D"/>
  </w:style>
  <w:style w:type="paragraph" w:customStyle="1" w:styleId="3A57F415B72C41218979BD9FC9D49BA1">
    <w:name w:val="3A57F415B72C41218979BD9FC9D49BA1"/>
    <w:rsid w:val="0031356D"/>
    <w:pPr>
      <w:suppressAutoHyphens/>
      <w:autoSpaceDE w:val="0"/>
      <w:autoSpaceDN w:val="0"/>
      <w:adjustRightInd w:val="0"/>
      <w:spacing w:after="0" w:line="224" w:lineRule="atLeast"/>
      <w:textAlignment w:val="center"/>
    </w:pPr>
    <w:rPr>
      <w:rFonts w:ascii="Arial Narrow" w:eastAsia="Times New Roman" w:hAnsi="Arial Narrow" w:cs="Myriad Pro Cond"/>
      <w:spacing w:val="4"/>
      <w:sz w:val="18"/>
      <w:szCs w:val="18"/>
      <w:u w:color="000000"/>
    </w:rPr>
  </w:style>
  <w:style w:type="paragraph" w:customStyle="1" w:styleId="E80E5D463A6E4F18ABB913C69F9E494A">
    <w:name w:val="E80E5D463A6E4F18ABB913C69F9E494A"/>
    <w:rsid w:val="0031356D"/>
  </w:style>
  <w:style w:type="paragraph" w:customStyle="1" w:styleId="4D3F1682CF9E49A1A744A5D27EC4558D">
    <w:name w:val="4D3F1682CF9E49A1A744A5D27EC4558D"/>
    <w:rsid w:val="00B069F9"/>
  </w:style>
  <w:style w:type="paragraph" w:customStyle="1" w:styleId="150406A6378747EF98D393D596CB6278">
    <w:name w:val="150406A6378747EF98D393D596CB6278"/>
    <w:rsid w:val="00B069F9"/>
  </w:style>
  <w:style w:type="paragraph" w:customStyle="1" w:styleId="170F422DA4644233B1FEC98118F4DD53">
    <w:name w:val="170F422DA4644233B1FEC98118F4DD53"/>
    <w:rsid w:val="00B069F9"/>
  </w:style>
  <w:style w:type="paragraph" w:customStyle="1" w:styleId="FC48E43323A0401CB55D9C3864D0B156">
    <w:name w:val="FC48E43323A0401CB55D9C3864D0B156"/>
    <w:rsid w:val="00FC1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5A274F5186431544A3E88A9228A5C4E6" ma:contentTypeVersion="" ma:contentTypeDescription="Luo uusi asiakirja." ma:contentTypeScope="" ma:versionID="b883faaa9203266ae711a645c148290a">
  <xsd:schema xmlns:xsd="http://www.w3.org/2001/XMLSchema" xmlns:xs="http://www.w3.org/2001/XMLSchema" xmlns:p="http://schemas.microsoft.com/office/2006/metadata/properties" targetNamespace="http://schemas.microsoft.com/office/2006/metadata/properties" ma:root="true" ma:fieldsID="24ee3673a7c89c407a824bdfaa4a8c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28FDC-347F-4183-8810-C68C6506FB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504D8E-2A02-4A1C-B779-56209068FD81}">
  <ds:schemaRefs>
    <ds:schemaRef ds:uri="http://schemas.microsoft.com/sharepoint/v3/contenttype/forms"/>
  </ds:schemaRefs>
</ds:datastoreItem>
</file>

<file path=customXml/itemProps3.xml><?xml version="1.0" encoding="utf-8"?>
<ds:datastoreItem xmlns:ds="http://schemas.openxmlformats.org/officeDocument/2006/customXml" ds:itemID="{3A46E005-45B7-42C7-9F57-D2CB9A273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8E195EE-98E1-4CB9-8890-F6E0FE4E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5381</Words>
  <Characters>43593</Characters>
  <Application>Microsoft Office Word</Application>
  <DocSecurity>0</DocSecurity>
  <Lines>363</Lines>
  <Paragraphs>97</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48877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VALTIONEUVOSTO_x000d_
PL 23, 00023 Valtioneuvosto_x000d_
vn.fi_x000d_
p. 0295 16001_x000d_
_x000d_
STATSRÅDET_x000d_
PB 23,_x000d_
00023 Statsrådet_x000d_
vn.fi/sv_x000d_
Tfn 0295 16001</dc:description>
  <cp:lastModifiedBy/>
  <cp:revision>1</cp:revision>
  <dcterms:created xsi:type="dcterms:W3CDTF">2023-06-14T12:39:00Z</dcterms:created>
  <dcterms:modified xsi:type="dcterms:W3CDTF">2023-06-14T13:02:00Z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mpusOrganization">
    <vt:lpwstr/>
  </property>
  <property fmtid="{D5CDD505-2E9C-101B-9397-08002B2CF9AE}" pid="3" name="ContentTypeId">
    <vt:lpwstr>0x0101005A274F5186431544A3E88A9228A5C4E6</vt:lpwstr>
  </property>
  <property fmtid="{D5CDD505-2E9C-101B-9397-08002B2CF9AE}" pid="4" name="KampusKeywords">
    <vt:lpwstr/>
  </property>
</Properties>
</file>