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4082"/>
        <w:gridCol w:w="2608"/>
        <w:gridCol w:w="2240"/>
      </w:tblGrid>
      <w:tr w:rsidR="00CB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</w:tcPr>
          <w:p w:rsidR="00CB7DA4" w:rsidRDefault="00CB7DA4">
            <w:pPr>
              <w:ind w:left="283"/>
            </w:pPr>
          </w:p>
        </w:tc>
        <w:tc>
          <w:tcPr>
            <w:tcW w:w="4082" w:type="dxa"/>
          </w:tcPr>
          <w:p w:rsidR="00CB7DA4" w:rsidRDefault="00F63726">
            <w:r>
              <w:rPr>
                <w:noProof/>
                <w:lang w:eastAsia="fi-FI"/>
              </w:rPr>
              <w:drawing>
                <wp:anchor distT="0" distB="0" distL="114300" distR="114300" simplePos="0" relativeHeight="251655680" behindDoc="1" locked="1" layoutInCell="0" allowOverlap="1">
                  <wp:simplePos x="0" y="0"/>
                  <wp:positionH relativeFrom="page">
                    <wp:posOffset>720090</wp:posOffset>
                  </wp:positionH>
                  <wp:positionV relativeFrom="page">
                    <wp:posOffset>360045</wp:posOffset>
                  </wp:positionV>
                  <wp:extent cx="431800" cy="5334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622" r="61292" b="60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8" w:type="dxa"/>
          </w:tcPr>
          <w:p w:rsidR="00CB7DA4" w:rsidRDefault="00CB7DA4"/>
        </w:tc>
        <w:tc>
          <w:tcPr>
            <w:tcW w:w="2240" w:type="dxa"/>
          </w:tcPr>
          <w:p w:rsidR="00CB7DA4" w:rsidRDefault="00CB7DA4"/>
        </w:tc>
      </w:tr>
      <w:tr w:rsidR="00CB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</w:tcPr>
          <w:p w:rsidR="00CB7DA4" w:rsidRDefault="00CB7DA4">
            <w:pPr>
              <w:ind w:left="283"/>
            </w:pPr>
          </w:p>
        </w:tc>
        <w:tc>
          <w:tcPr>
            <w:tcW w:w="4082" w:type="dxa"/>
          </w:tcPr>
          <w:p w:rsidR="00CB7DA4" w:rsidRDefault="00CB7DA4">
            <w:r>
              <w:t>VALTIOVARAINMINISTERIÖ</w:t>
            </w:r>
          </w:p>
        </w:tc>
        <w:tc>
          <w:tcPr>
            <w:tcW w:w="2608" w:type="dxa"/>
          </w:tcPr>
          <w:p w:rsidR="00CB7DA4" w:rsidRDefault="00CB7DA4">
            <w:pPr>
              <w:rPr>
                <w:caps/>
              </w:rPr>
            </w:pPr>
          </w:p>
        </w:tc>
        <w:tc>
          <w:tcPr>
            <w:tcW w:w="2240" w:type="dxa"/>
          </w:tcPr>
          <w:p w:rsidR="00CB7DA4" w:rsidRDefault="00A35C7B">
            <w:pPr>
              <w:rPr>
                <w:caps/>
              </w:rPr>
            </w:pPr>
            <w:r>
              <w:rPr>
                <w:caps/>
              </w:rPr>
              <w:t>VM042:01/2004</w:t>
            </w:r>
          </w:p>
        </w:tc>
      </w:tr>
      <w:tr w:rsidR="00CB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</w:tcPr>
          <w:p w:rsidR="00CB7DA4" w:rsidRDefault="00CB7DA4">
            <w:pPr>
              <w:ind w:left="283"/>
            </w:pPr>
          </w:p>
        </w:tc>
        <w:tc>
          <w:tcPr>
            <w:tcW w:w="4082" w:type="dxa"/>
          </w:tcPr>
          <w:p w:rsidR="00CB7DA4" w:rsidRDefault="00652CF4">
            <w:r>
              <w:t>Valtiovarain controller</w:t>
            </w:r>
          </w:p>
        </w:tc>
        <w:tc>
          <w:tcPr>
            <w:tcW w:w="2608" w:type="dxa"/>
          </w:tcPr>
          <w:p w:rsidR="00CB7DA4" w:rsidRDefault="00CB7DA4"/>
        </w:tc>
        <w:tc>
          <w:tcPr>
            <w:tcW w:w="2240" w:type="dxa"/>
          </w:tcPr>
          <w:p w:rsidR="00CB7DA4" w:rsidRDefault="00CB7DA4"/>
        </w:tc>
      </w:tr>
      <w:tr w:rsidR="00CB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</w:tcPr>
          <w:p w:rsidR="00CB7DA4" w:rsidRDefault="00CB7DA4">
            <w:pPr>
              <w:ind w:left="283"/>
            </w:pPr>
          </w:p>
        </w:tc>
        <w:tc>
          <w:tcPr>
            <w:tcW w:w="4082" w:type="dxa"/>
          </w:tcPr>
          <w:p w:rsidR="00CB7DA4" w:rsidRDefault="00CB7DA4">
            <w:r>
              <w:fldChar w:fldCharType="begin">
                <w:ffData>
                  <w:name w:val=""/>
                  <w:enabled/>
                  <w:calcOnExit w:val="0"/>
                  <w:helpText w:type="text" w:val="Kirjoita tähän nimesi tai muuta tarvittavaa lisätietoa."/>
                  <w:statusText w:type="text" w:val="Kirjoita tähän nimesi tai muuta tarvittavaa lisätietoa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01E3">
              <w:rPr>
                <w:noProof/>
              </w:rPr>
              <w:t> </w:t>
            </w:r>
            <w:r w:rsidR="00A701E3">
              <w:rPr>
                <w:noProof/>
              </w:rPr>
              <w:t> </w:t>
            </w:r>
            <w:r w:rsidR="00A701E3">
              <w:rPr>
                <w:noProof/>
              </w:rPr>
              <w:t> </w:t>
            </w:r>
            <w:r w:rsidR="00A701E3">
              <w:rPr>
                <w:noProof/>
              </w:rPr>
              <w:t> </w:t>
            </w:r>
            <w:r w:rsidR="00A701E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8" w:type="dxa"/>
          </w:tcPr>
          <w:p w:rsidR="00CB7DA4" w:rsidRDefault="00652CF4">
            <w:r>
              <w:t>22.3.2007</w:t>
            </w:r>
          </w:p>
        </w:tc>
        <w:tc>
          <w:tcPr>
            <w:tcW w:w="2240" w:type="dxa"/>
          </w:tcPr>
          <w:p w:rsidR="00CB7DA4" w:rsidRDefault="00CB7DA4"/>
        </w:tc>
      </w:tr>
    </w:tbl>
    <w:p w:rsidR="00CB7DA4" w:rsidRDefault="00CB7DA4"/>
    <w:p w:rsidR="00CB7DA4" w:rsidRDefault="00CB7DA4"/>
    <w:p w:rsidR="00CB7DA4" w:rsidRDefault="00CB7DA4"/>
    <w:p w:rsidR="00652CF4" w:rsidRDefault="00652CF4"/>
    <w:p w:rsidR="00CB7DA4" w:rsidRDefault="00652CF4">
      <w:r>
        <w:t>Ministeriöille ja tilivirastoille</w:t>
      </w:r>
    </w:p>
    <w:p w:rsidR="00CB7DA4" w:rsidRDefault="00CB7DA4"/>
    <w:p w:rsidR="00CB7DA4" w:rsidRDefault="00CB7DA4"/>
    <w:p w:rsidR="00CB7DA4" w:rsidRDefault="00CB7DA4"/>
    <w:p w:rsidR="00CB7DA4" w:rsidRDefault="00CB7DA4"/>
    <w:p w:rsidR="00CB7DA4" w:rsidRDefault="00CB7DA4"/>
    <w:p w:rsidR="00CB7DA4" w:rsidRDefault="00CB7DA4"/>
    <w:p w:rsidR="00CB7DA4" w:rsidRDefault="00652CF4">
      <w:pPr>
        <w:pStyle w:val="Otsikkoteksti1"/>
      </w:pPr>
      <w:r>
        <w:t>viraston Sisäisen tarkastuksen malliohjesääntö</w:t>
      </w:r>
    </w:p>
    <w:p w:rsidR="00652CF4" w:rsidRDefault="00652CF4" w:rsidP="00652CF4">
      <w:pPr>
        <w:ind w:left="1304"/>
      </w:pPr>
      <w:r>
        <w:t>Liitteenä on</w:t>
      </w:r>
      <w:r w:rsidRPr="004F46DE">
        <w:t xml:space="preserve"> </w:t>
      </w:r>
      <w:r w:rsidR="000C0E0F">
        <w:t>valtion sisäisen</w:t>
      </w:r>
      <w:r>
        <w:t xml:space="preserve"> valvonnan ja riskienhallinnan neuvottelukunnan sisäisen ta</w:t>
      </w:r>
      <w:r>
        <w:t>r</w:t>
      </w:r>
      <w:r>
        <w:t>kastuksen jaoston laatima malli</w:t>
      </w:r>
      <w:r w:rsidRPr="004F46DE">
        <w:t xml:space="preserve"> viraston ja laitoksen sisäisen tarkastuksen ohjesää</w:t>
      </w:r>
      <w:r w:rsidRPr="004F46DE">
        <w:t>n</w:t>
      </w:r>
      <w:r w:rsidRPr="004F46DE">
        <w:t xml:space="preserve">nöksi. </w:t>
      </w:r>
      <w:r w:rsidR="00D43107">
        <w:t>Ohjesäännön malli on suositus, jonka käyttäminen ei ole pakollista.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 w:rsidRPr="00652CF4">
        <w:t>Valtion talousarviosta annetun asetuksen (1243/1992) 70 §</w:t>
      </w:r>
      <w:r>
        <w:t>:ssä</w:t>
      </w:r>
      <w:r w:rsidRPr="00652CF4">
        <w:t xml:space="preserve"> säädetään viraston ja la</w:t>
      </w:r>
      <w:r w:rsidRPr="00652CF4">
        <w:t>i</w:t>
      </w:r>
      <w:r w:rsidRPr="00652CF4">
        <w:t>toksen johdon velvollisuudesta järjestää sisäinen tarkastus, jos siihen on perusteltua ta</w:t>
      </w:r>
      <w:r w:rsidRPr="00652CF4">
        <w:t>r</w:t>
      </w:r>
      <w:r w:rsidRPr="00652CF4">
        <w:t>vetta sisäisen valvonnan menettelyiden johdosta. Mikäli sisäinen tarkastus on järjestetty, t</w:t>
      </w:r>
      <w:r w:rsidRPr="00652CF4">
        <w:t>u</w:t>
      </w:r>
      <w:r w:rsidRPr="00652CF4">
        <w:t>lee viraston vahvistaa sisäisen tarkastuksen ohjesääntö</w:t>
      </w:r>
      <w:r>
        <w:t>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 w:rsidRPr="004F46DE">
        <w:t>Malli on laadittu viraston omana toimintana järjestettyä sisäistä tarkastusta silmällä pit</w:t>
      </w:r>
      <w:r w:rsidRPr="004F46DE">
        <w:t>ä</w:t>
      </w:r>
      <w:r w:rsidRPr="004F46DE">
        <w:t>en. Viraston ja laitoksen on arvioitava kriittisesti mallin soveltuvuutta omaan toimintaan ja tarpeen mukaan lisättävä, poistettava tai muokattava sitä omaan toimintaan sovelt</w:t>
      </w:r>
      <w:r w:rsidRPr="004F46DE">
        <w:t>u</w:t>
      </w:r>
      <w:r w:rsidRPr="004F46DE">
        <w:t>vaksi. Mallia voidaan hyödyntää myös ostopalveluna toteutetun sisäisen tarkastuksen o</w:t>
      </w:r>
      <w:r w:rsidRPr="004F46DE">
        <w:t>h</w:t>
      </w:r>
      <w:r w:rsidRPr="004F46DE">
        <w:t>jesäännön valmistelussa edellyttäen, että samalla varmistutaan ohjesäännön soveltuvu</w:t>
      </w:r>
      <w:r w:rsidRPr="004F46DE">
        <w:t>u</w:t>
      </w:r>
      <w:r>
        <w:t>desta v</w:t>
      </w:r>
      <w:r>
        <w:t>i</w:t>
      </w:r>
      <w:r>
        <w:t>raston toimintatapaan.</w:t>
      </w:r>
    </w:p>
    <w:p w:rsidR="00652CF4" w:rsidRDefault="00652CF4" w:rsidP="00652CF4"/>
    <w:p w:rsidR="000C0E0F" w:rsidRDefault="005C4605" w:rsidP="00652CF4">
      <w:pPr>
        <w:ind w:left="1304"/>
      </w:pPr>
      <w:r>
        <w:t xml:space="preserve">Malli on saatavissa Internetistä osoitteesta </w:t>
      </w:r>
      <w:hyperlink r:id="rId8" w:history="1">
        <w:r w:rsidRPr="00D8259D">
          <w:rPr>
            <w:rStyle w:val="Hyperlinkki"/>
          </w:rPr>
          <w:t>www.vm.fi</w:t>
        </w:r>
      </w:hyperlink>
      <w:r>
        <w:t xml:space="preserve"> (Valtiontalous / Tuloksellisuus / Sisäinen tarkastus). </w:t>
      </w:r>
      <w:r w:rsidR="000C0E0F">
        <w:t xml:space="preserve">Lisätietoa mallista antaa finanssineuvos Jan Holmberg, valtiovarain controller –toiminto. Puh. (09) 160 32567, </w:t>
      </w:r>
      <w:hyperlink r:id="rId9" w:history="1">
        <w:r w:rsidR="000C0E0F" w:rsidRPr="00D8259D">
          <w:rPr>
            <w:rStyle w:val="Hyperlinkki"/>
          </w:rPr>
          <w:t>jan.holmberg@vm.fi</w:t>
        </w:r>
      </w:hyperlink>
      <w:r w:rsidR="000C0E0F">
        <w:t>.</w:t>
      </w:r>
    </w:p>
    <w:p w:rsidR="000C0E0F" w:rsidRDefault="000C0E0F" w:rsidP="00652CF4">
      <w:pPr>
        <w:ind w:left="1304"/>
      </w:pPr>
    </w:p>
    <w:p w:rsidR="00E53192" w:rsidRDefault="00652CF4" w:rsidP="00652CF4">
      <w:pPr>
        <w:ind w:left="1304"/>
      </w:pPr>
      <w:r>
        <w:t xml:space="preserve"> </w:t>
      </w: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  <w:r>
        <w:t>Valtioneuvoston apulaiscontroller</w:t>
      </w:r>
      <w:r>
        <w:tab/>
        <w:t>Antti Lehtonen</w:t>
      </w: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</w:p>
    <w:p w:rsidR="00652CF4" w:rsidRDefault="00E53192" w:rsidP="00652CF4">
      <w:pPr>
        <w:ind w:left="1304"/>
      </w:pPr>
      <w:r>
        <w:t>Finanssineuvos</w:t>
      </w:r>
      <w:r>
        <w:tab/>
      </w:r>
      <w:r>
        <w:tab/>
        <w:t>Jan Holmberg</w:t>
      </w:r>
      <w:r w:rsidR="00652CF4">
        <w:br/>
      </w:r>
    </w:p>
    <w:p w:rsidR="001C53AC" w:rsidRDefault="001C53AC" w:rsidP="00652CF4">
      <w:pPr>
        <w:ind w:left="1304"/>
      </w:pPr>
    </w:p>
    <w:p w:rsidR="001C53AC" w:rsidRDefault="001C53AC" w:rsidP="00652CF4">
      <w:pPr>
        <w:ind w:left="1304"/>
      </w:pPr>
    </w:p>
    <w:p w:rsidR="00E53192" w:rsidRDefault="00E53192" w:rsidP="00652CF4">
      <w:pPr>
        <w:ind w:left="1304"/>
      </w:pPr>
    </w:p>
    <w:p w:rsidR="00E53192" w:rsidRDefault="00E53192" w:rsidP="00652CF4">
      <w:pPr>
        <w:ind w:left="1304"/>
      </w:pPr>
    </w:p>
    <w:p w:rsidR="00E53192" w:rsidRDefault="00E53192" w:rsidP="00E53192">
      <w:r>
        <w:t>Liite</w:t>
      </w:r>
      <w:r>
        <w:tab/>
        <w:t>Sisäisen tarkastuksen malliohjesääntö</w:t>
      </w:r>
    </w:p>
    <w:p w:rsidR="00A701E3" w:rsidRDefault="00652CF4" w:rsidP="00A701E3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701E3">
        <w:rPr>
          <w:b/>
          <w:sz w:val="28"/>
          <w:szCs w:val="28"/>
        </w:rPr>
        <w:lastRenderedPageBreak/>
        <w:t>LIITE</w:t>
      </w:r>
    </w:p>
    <w:p w:rsidR="00A701E3" w:rsidRDefault="00A701E3" w:rsidP="00A701E3">
      <w:pPr>
        <w:jc w:val="right"/>
        <w:outlineLvl w:val="0"/>
        <w:rPr>
          <w:b/>
          <w:sz w:val="28"/>
          <w:szCs w:val="28"/>
        </w:rPr>
      </w:pPr>
    </w:p>
    <w:p w:rsidR="00652CF4" w:rsidRPr="00BC332B" w:rsidRDefault="00652CF4" w:rsidP="00652CF4">
      <w:pPr>
        <w:outlineLvl w:val="0"/>
        <w:rPr>
          <w:b/>
          <w:sz w:val="28"/>
          <w:szCs w:val="28"/>
        </w:rPr>
      </w:pPr>
      <w:r w:rsidRPr="00BC332B">
        <w:rPr>
          <w:b/>
          <w:sz w:val="28"/>
          <w:szCs w:val="28"/>
        </w:rPr>
        <w:t>Sisäis</w:t>
      </w:r>
      <w:r>
        <w:rPr>
          <w:b/>
          <w:sz w:val="28"/>
          <w:szCs w:val="28"/>
        </w:rPr>
        <w:t>en tarkastuksen malliohjesääntö</w:t>
      </w:r>
      <w:r w:rsidR="00E53192">
        <w:rPr>
          <w:b/>
          <w:sz w:val="28"/>
          <w:szCs w:val="28"/>
        </w:rPr>
        <w:tab/>
      </w:r>
      <w:r w:rsidR="00E53192">
        <w:rPr>
          <w:b/>
          <w:sz w:val="28"/>
          <w:szCs w:val="28"/>
        </w:rPr>
        <w:tab/>
      </w:r>
      <w:r w:rsidR="00E53192">
        <w:rPr>
          <w:b/>
          <w:sz w:val="28"/>
          <w:szCs w:val="28"/>
        </w:rPr>
        <w:tab/>
      </w:r>
    </w:p>
    <w:p w:rsidR="00652CF4" w:rsidRDefault="00652CF4" w:rsidP="00652CF4"/>
    <w:p w:rsidR="00652CF4" w:rsidRDefault="00652CF4" w:rsidP="00652CF4"/>
    <w:p w:rsidR="00652CF4" w:rsidRDefault="00652CF4" w:rsidP="00652CF4">
      <w:r w:rsidRPr="004F46DE">
        <w:t>Hakasulkeissa [xxx] olevat kohdat on muokattava viraston tai laitoksen organisaatiomallin ja tarpeiden mukaisiksi. Malliin on tekstikehyksiin lisätty selventävää kuvausta kyseiseen kohtaan liittyvistä asioi</w:t>
      </w:r>
      <w:r w:rsidRPr="004F46DE">
        <w:t>s</w:t>
      </w:r>
      <w:r w:rsidRPr="004F46DE">
        <w:t>ta.</w:t>
      </w:r>
    </w:p>
    <w:p w:rsidR="00652CF4" w:rsidRDefault="00652CF4" w:rsidP="00652CF4"/>
    <w:p w:rsidR="00652CF4" w:rsidRDefault="00652CF4" w:rsidP="00652CF4"/>
    <w:p w:rsidR="00652CF4" w:rsidRDefault="00652CF4" w:rsidP="00652CF4">
      <w:pPr>
        <w:outlineLvl w:val="0"/>
      </w:pPr>
    </w:p>
    <w:p w:rsidR="00652CF4" w:rsidRDefault="00652CF4" w:rsidP="00652CF4">
      <w:pPr>
        <w:numPr>
          <w:ilvl w:val="0"/>
          <w:numId w:val="20"/>
        </w:numPr>
      </w:pPr>
      <w:r>
        <w:t>Sisäisen tarkastuksen ohjesäännön tarkoitus</w:t>
      </w:r>
    </w:p>
    <w:p w:rsidR="00652CF4" w:rsidRDefault="00652CF4" w:rsidP="00652CF4">
      <w:pPr>
        <w:outlineLvl w:val="0"/>
      </w:pPr>
    </w:p>
    <w:p w:rsidR="00652CF4" w:rsidRDefault="00652CF4" w:rsidP="00652CF4">
      <w:pPr>
        <w:ind w:left="1304"/>
        <w:outlineLvl w:val="0"/>
      </w:pPr>
      <w:r>
        <w:t>[Virasto] on valtion talousarviosta annetun asetuksen (1243/1992) 70 §:n mukaisesti jä</w:t>
      </w:r>
      <w:r>
        <w:t>r</w:t>
      </w:r>
      <w:r>
        <w:t>jestänyt sisäisen tarkastuksen. Sisäisen tarkastuksen tehtävistä vastaa [sisäisen tarkastu</w:t>
      </w:r>
      <w:r>
        <w:t>k</w:t>
      </w:r>
      <w:r>
        <w:t>sen yksikkö / s</w:t>
      </w:r>
      <w:r>
        <w:t>i</w:t>
      </w:r>
      <w:r>
        <w:t xml:space="preserve">säinen tarkastaja / muu taho virastossa]. </w:t>
      </w:r>
    </w:p>
    <w:p w:rsidR="00652CF4" w:rsidRDefault="00652CF4" w:rsidP="00652CF4">
      <w:pPr>
        <w:ind w:left="1304"/>
        <w:outlineLvl w:val="0"/>
      </w:pPr>
    </w:p>
    <w:p w:rsidR="00652CF4" w:rsidRDefault="00652CF4" w:rsidP="00652CF4">
      <w:pPr>
        <w:ind w:left="1304"/>
        <w:outlineLvl w:val="0"/>
      </w:pPr>
      <w:r>
        <w:t>[Viraston] vahvistamassa sisäisen tarkastuksen ohjesäännössä annetaan määräykset sisä</w:t>
      </w:r>
      <w:r>
        <w:t>i</w:t>
      </w:r>
      <w:r>
        <w:t>sen tarkastuksen menettelyistä ja asemasta [viraston] organisaat</w:t>
      </w:r>
      <w:r>
        <w:t>i</w:t>
      </w:r>
      <w:r>
        <w:t xml:space="preserve">ossa. </w:t>
      </w:r>
    </w:p>
    <w:p w:rsidR="00652CF4" w:rsidRDefault="00652CF4" w:rsidP="00652CF4">
      <w:pPr>
        <w:ind w:left="1304"/>
        <w:outlineLvl w:val="0"/>
      </w:pPr>
    </w:p>
    <w:p w:rsidR="00652CF4" w:rsidRDefault="00F63726" w:rsidP="00652CF4">
      <w:pPr>
        <w:ind w:left="1304"/>
        <w:outlineLvl w:val="0"/>
      </w:pPr>
      <w:r>
        <w:rPr>
          <w:noProof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6in;height:205.25pt;z-index:251656704;mso-position-horizontal-relative:char;mso-position-vertical-relative:line">
            <v:textbox style="mso-next-textbox:#_x0000_s1027;mso-fit-shape-to-text:t">
              <w:txbxContent>
                <w:p w:rsidR="00652CF4" w:rsidRPr="00BC332B" w:rsidRDefault="00652CF4" w:rsidP="00652CF4">
                  <w:pPr>
                    <w:outlineLvl w:val="0"/>
                    <w:rPr>
                      <w:i/>
                    </w:rPr>
                  </w:pPr>
                  <w:r w:rsidRPr="00BC332B">
                    <w:rPr>
                      <w:i/>
                    </w:rPr>
                    <w:t>Valtion talousarviosta annetun asetuksen (1243/1992) 70 §</w:t>
                  </w:r>
                  <w:r>
                    <w:rPr>
                      <w:i/>
                    </w:rPr>
                    <w:t xml:space="preserve">:ssä </w:t>
                  </w:r>
                  <w:r w:rsidRPr="00BC332B">
                    <w:rPr>
                      <w:i/>
                    </w:rPr>
                    <w:t>säädetään viraston ja laitoksen johdon velvollisuudesta järjestää sisäinen tarkastus, jos siihen on peruste</w:t>
                  </w:r>
                  <w:r w:rsidRPr="00BC332B">
                    <w:rPr>
                      <w:i/>
                    </w:rPr>
                    <w:t>l</w:t>
                  </w:r>
                  <w:r w:rsidRPr="00BC332B">
                    <w:rPr>
                      <w:i/>
                    </w:rPr>
                    <w:t>tua tarvetta sisäisen valvonnan menettelyiden johdosta. Mikäli sisäinen tarkastus on jä</w:t>
                  </w:r>
                  <w:r w:rsidRPr="00BC332B">
                    <w:rPr>
                      <w:i/>
                    </w:rPr>
                    <w:t>r</w:t>
                  </w:r>
                  <w:r w:rsidRPr="00BC332B">
                    <w:rPr>
                      <w:i/>
                    </w:rPr>
                    <w:t>jestetty, tulee viraston vahvistaa sisäisen tarkastuksen ohjesääntö.</w:t>
                  </w:r>
                </w:p>
                <w:p w:rsidR="00652CF4" w:rsidRPr="00BC332B" w:rsidRDefault="00652CF4" w:rsidP="00652CF4">
                  <w:pPr>
                    <w:outlineLvl w:val="0"/>
                    <w:rPr>
                      <w:i/>
                    </w:rPr>
                  </w:pPr>
                </w:p>
                <w:p w:rsidR="00652CF4" w:rsidRPr="00BC332B" w:rsidRDefault="00652CF4" w:rsidP="00652CF4">
                  <w:pPr>
                    <w:outlineLvl w:val="0"/>
                    <w:rPr>
                      <w:i/>
                    </w:rPr>
                  </w:pPr>
                  <w:r w:rsidRPr="00BC332B">
                    <w:rPr>
                      <w:i/>
                    </w:rPr>
                    <w:t>Sisäinen tarkastus voidaan järjestää joko omana työnä, ulkoistettuna palveluo</w:t>
                  </w:r>
                  <w:r w:rsidRPr="00BC332B">
                    <w:rPr>
                      <w:i/>
                    </w:rPr>
                    <w:t>s</w:t>
                  </w:r>
                  <w:r w:rsidRPr="00BC332B">
                    <w:rPr>
                      <w:i/>
                    </w:rPr>
                    <w:t>tona tai näiden yhdistelmänä. Mikäli toiminta on järjestelmällistä ja täyttää sisäiselle ta</w:t>
                  </w:r>
                  <w:r w:rsidRPr="00BC332B">
                    <w:rPr>
                      <w:i/>
                    </w:rPr>
                    <w:t>r</w:t>
                  </w:r>
                  <w:r w:rsidRPr="00BC332B">
                    <w:rPr>
                      <w:i/>
                    </w:rPr>
                    <w:t>kastukselle asetetut kriteerit, on viraston määrättävä sisäisen tarkastuksen menett</w:t>
                  </w:r>
                  <w:r w:rsidRPr="00BC332B">
                    <w:rPr>
                      <w:i/>
                    </w:rPr>
                    <w:t>e</w:t>
                  </w:r>
                  <w:r w:rsidRPr="00BC332B">
                    <w:rPr>
                      <w:i/>
                    </w:rPr>
                    <w:t xml:space="preserve">lyistä sisäisen tarkastuksen ohjesäännössä. Ulkoistetun sisäisen tarkastuksen osalta </w:t>
                  </w:r>
                  <w:r>
                    <w:rPr>
                      <w:i/>
                    </w:rPr>
                    <w:t>ohjesääntö on tarkoitettu toimintaohjeeksi taholle, jonka vastuulle johto on sisäisen tarkastuksen ja sen hankinnan delegoinut</w:t>
                  </w:r>
                  <w:r w:rsidRPr="00BC332B">
                    <w:rPr>
                      <w:i/>
                    </w:rPr>
                    <w:t>.</w:t>
                  </w:r>
                </w:p>
                <w:p w:rsidR="00652CF4" w:rsidRPr="00BC332B" w:rsidRDefault="00652CF4" w:rsidP="00652CF4">
                  <w:pPr>
                    <w:rPr>
                      <w:i/>
                    </w:rPr>
                  </w:pPr>
                </w:p>
                <w:p w:rsidR="00652CF4" w:rsidRPr="00BC332B" w:rsidRDefault="00652CF4" w:rsidP="00652CF4">
                  <w:pPr>
                    <w:rPr>
                      <w:i/>
                    </w:rPr>
                  </w:pPr>
                  <w:r w:rsidRPr="00BC332B">
                    <w:rPr>
                      <w:i/>
                    </w:rPr>
                    <w:t>Viraston taloussäännössä annetaan tarkemmat määräykset sisäiseen valvontaan ja siihen kuuluva</w:t>
                  </w:r>
                  <w:r>
                    <w:rPr>
                      <w:i/>
                    </w:rPr>
                    <w:t>sta riskienhallinnasta</w:t>
                  </w:r>
                  <w:r w:rsidRPr="00BC332B">
                    <w:rPr>
                      <w:i/>
                    </w:rPr>
                    <w:t>.</w:t>
                  </w:r>
                  <w:r>
                    <w:rPr>
                      <w:i/>
                    </w:rPr>
                    <w:t xml:space="preserve"> Taloussääntöön tulee sisällyttää viittaus sisäisen tarkastuksen ohjesääntöön.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drawing>
          <wp:inline distT="0" distB="0" distL="0" distR="0">
            <wp:extent cx="5486400" cy="26003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99973" b="99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F4" w:rsidRDefault="00652CF4" w:rsidP="00652CF4">
      <w:pPr>
        <w:ind w:left="1304"/>
        <w:outlineLvl w:val="0"/>
      </w:pPr>
    </w:p>
    <w:p w:rsidR="00652CF4" w:rsidRDefault="00652CF4" w:rsidP="00652CF4">
      <w:pPr>
        <w:ind w:left="1304"/>
        <w:outlineLvl w:val="0"/>
      </w:pPr>
    </w:p>
    <w:p w:rsidR="00652CF4" w:rsidRDefault="00652CF4" w:rsidP="00652CF4">
      <w:pPr>
        <w:numPr>
          <w:ilvl w:val="0"/>
          <w:numId w:val="20"/>
        </w:numPr>
      </w:pPr>
      <w:r>
        <w:t>Sisäisen tarkastuksen tarkoitus</w:t>
      </w:r>
    </w:p>
    <w:p w:rsidR="00652CF4" w:rsidRDefault="00652CF4" w:rsidP="00652CF4"/>
    <w:p w:rsidR="00652CF4" w:rsidRDefault="00652CF4" w:rsidP="00652CF4">
      <w:pPr>
        <w:ind w:left="1304"/>
      </w:pPr>
      <w:r>
        <w:t>Sisäinen tarkastus on riippumatonta ja objektiivista arviointi- ja varmistus- sekä konsu</w:t>
      </w:r>
      <w:r>
        <w:t>l</w:t>
      </w:r>
      <w:r>
        <w:t>tointitoimintaa, joka on luotu tuottamaan lisäarvoa [virastolle] ja parantamaan sen to</w:t>
      </w:r>
      <w:r>
        <w:t>i</w:t>
      </w:r>
      <w:r>
        <w:t xml:space="preserve">mintaa. 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Sisäinen tarkastus tukee [virastoa] ja sen ylintä johtoa tavoitteiden saavuttamisessa ta</w:t>
      </w:r>
      <w:r>
        <w:t>r</w:t>
      </w:r>
      <w:r>
        <w:t>joamalla järjestelmällisen lähestymistavan organisaation valvonta-, johtamis- ja hallint</w:t>
      </w:r>
      <w:r>
        <w:t>o</w:t>
      </w:r>
      <w:r>
        <w:t>prosessien sekä riskienhallinnan tehokkuuden arviointiin ja kehittämiseen.</w:t>
      </w:r>
    </w:p>
    <w:p w:rsidR="00652CF4" w:rsidRDefault="00652CF4" w:rsidP="00652CF4"/>
    <w:p w:rsidR="00652CF4" w:rsidRDefault="00652CF4" w:rsidP="00652CF4">
      <w:pPr>
        <w:numPr>
          <w:ilvl w:val="0"/>
          <w:numId w:val="20"/>
        </w:numPr>
      </w:pPr>
      <w:r>
        <w:t>Asema ja valtuudet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Sisäinen tarkastus toimii [viraston päällikön] alaisuudessa. Sisäisen tarkastuksen kohte</w:t>
      </w:r>
      <w:r>
        <w:t>e</w:t>
      </w:r>
      <w:r>
        <w:t xml:space="preserve">na voivat olla [viraston] kaikki toiminnot, vastattavana tai välitettävänä olevien varojen hoito ja kaikki [toimintayksiköt]. 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lastRenderedPageBreak/>
        <w:t>Sisäisellä tarkastuksella on oikeus saada tarkastustehtäväänsä varten tarpeelliset tiedot ja asiakirjat salassapitosäännösten estämättä.  Lisäksi se on oikeutettu saamaan toimintay</w:t>
      </w:r>
      <w:r>
        <w:t>k</w:t>
      </w:r>
      <w:r>
        <w:t>siköiltä tehtäviensä hoitamisen kannalta tarpeellista apua.</w:t>
      </w:r>
    </w:p>
    <w:p w:rsidR="00652CF4" w:rsidRDefault="00652CF4" w:rsidP="00652CF4"/>
    <w:p w:rsidR="00652CF4" w:rsidRDefault="00652CF4" w:rsidP="00652CF4">
      <w:pPr>
        <w:ind w:left="1304"/>
      </w:pPr>
      <w:r>
        <w:t>Sisäisellä tarkastuksella ei ole päätösvaltaa eikä toiminnallista vastuuta tarkastettavien toimintojen suhteen.</w:t>
      </w:r>
    </w:p>
    <w:p w:rsidR="00652CF4" w:rsidRDefault="00652CF4" w:rsidP="00652CF4">
      <w:pPr>
        <w:ind w:left="1304"/>
      </w:pPr>
    </w:p>
    <w:p w:rsidR="00652CF4" w:rsidRDefault="00F63726" w:rsidP="00652CF4">
      <w:pPr>
        <w:ind w:left="1304"/>
      </w:pPr>
      <w:r>
        <w:rPr>
          <w:noProof/>
          <w:lang w:eastAsia="fi-FI"/>
        </w:rPr>
      </w:r>
      <w:r w:rsidR="00E31C90">
        <w:pict>
          <v:shape id="_x0000_s1028" type="#_x0000_t202" style="width:423pt;height:66.8pt;mso-position-horizontal-relative:char;mso-position-vertical-relative:line">
            <v:textbox style="mso-next-textbox:#_x0000_s1028">
              <w:txbxContent>
                <w:p w:rsidR="00652CF4" w:rsidRPr="00BC332B" w:rsidRDefault="00652CF4" w:rsidP="00652CF4">
                  <w:pPr>
                    <w:rPr>
                      <w:i/>
                    </w:rPr>
                  </w:pPr>
                  <w:r w:rsidRPr="00BC332B">
                    <w:rPr>
                      <w:i/>
                    </w:rPr>
                    <w:t>Ministeriön sisäisen tarkastuksen kohteena voi olla koko halli</w:t>
                  </w:r>
                  <w:r w:rsidRPr="00BC332B">
                    <w:rPr>
                      <w:i/>
                    </w:rPr>
                    <w:t>n</w:t>
                  </w:r>
                  <w:r w:rsidRPr="00BC332B">
                    <w:rPr>
                      <w:i/>
                    </w:rPr>
                    <w:t xml:space="preserve">nonala. Viraston on harkittava sisäisen tarkastuksen </w:t>
                  </w:r>
                  <w:r>
                    <w:rPr>
                      <w:i/>
                    </w:rPr>
                    <w:t>kohteen laajentamista</w:t>
                  </w:r>
                  <w:r w:rsidRPr="00BC332B">
                    <w:rPr>
                      <w:i/>
                    </w:rPr>
                    <w:t xml:space="preserve"> myös </w:t>
                  </w:r>
                  <w:r>
                    <w:rPr>
                      <w:i/>
                    </w:rPr>
                    <w:t>mahdollisten lakisä</w:t>
                  </w:r>
                  <w:r>
                    <w:rPr>
                      <w:i/>
                    </w:rPr>
                    <w:t>ä</w:t>
                  </w:r>
                  <w:r>
                    <w:rPr>
                      <w:i/>
                    </w:rPr>
                    <w:t>teisten valvontavelvollisuuksien tai muiden viraston ulkopuolisesta toiminnasta a</w:t>
                  </w:r>
                  <w:r>
                    <w:rPr>
                      <w:i/>
                    </w:rPr>
                    <w:t>i</w:t>
                  </w:r>
                  <w:r>
                    <w:rPr>
                      <w:i/>
                    </w:rPr>
                    <w:t>heutuvien vastuiden vuoksi.</w:t>
                  </w:r>
                </w:p>
                <w:p w:rsidR="00652CF4" w:rsidRPr="00BC332B" w:rsidRDefault="00652CF4" w:rsidP="00652CF4">
                  <w:pPr>
                    <w:rPr>
                      <w:i/>
                    </w:rPr>
                  </w:pPr>
                </w:p>
              </w:txbxContent>
            </v:textbox>
            <w10:anchorlock/>
          </v:shape>
        </w:pic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Tehtävät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tehtävänä on selvittää [viraston] johdolle sisäisen valvonnan ja ri</w:t>
      </w:r>
      <w:r>
        <w:t>s</w:t>
      </w:r>
      <w:r>
        <w:t>kienhallinnan asianmukaisuutta ja riittävyyttä sekä suorittaa [viraston päällikön] mä</w:t>
      </w:r>
      <w:r>
        <w:t>ä</w:t>
      </w:r>
      <w:r>
        <w:t>räämät tarkastustehtävät. Sisäinen tarkastus arvioi, ovatko sisäisen valvonnan menettelyt toiminnan riskeihin nähden asianmukaiset ja riittävät siten, että ne varmistavat [viraston] talouden ja toiminnan laillisuuden ja tuloksellisuuden, hallinnassa olevien varojen ja omaisuuden turvaamisen sekä johtamisen ja ulkoisen ohjauksen edellyttämät oikeat ja riittävät tiedot taloudesta ja toiminnasta.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Sisäinen tarkastus voi lisäksi antaa sisäistä valvontaa ja riskienhallintaa koskevia neuvo</w:t>
      </w:r>
      <w:r>
        <w:t>n</w:t>
      </w:r>
      <w:r>
        <w:t>taluonteisia konsultointipalveluita [viraston] johdolle ja [toimintayksiköille]. Konsultoi</w:t>
      </w:r>
      <w:r>
        <w:t>n</w:t>
      </w:r>
      <w:r>
        <w:t>tipalvelut eivät kuitenkaan saa vaarantaa sisäisen tarkastuksen riippumattomuutta ja o</w:t>
      </w:r>
      <w:r>
        <w:t>b</w:t>
      </w:r>
      <w:r>
        <w:t>jektiivisuutta.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Sisäinen tarkastus voi [viraston päällikön] suostumuksella antaa sisäisen tarkastuksen palveluita myös muulle valtion virastolle, laitokselle tai talousarvion ulkopuoliselle r</w:t>
      </w:r>
      <w:r>
        <w:t>a</w:t>
      </w:r>
      <w:r>
        <w:t>hasto</w:t>
      </w:r>
      <w:r>
        <w:t>l</w:t>
      </w:r>
      <w:r>
        <w:t>le.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 xml:space="preserve">Sisäisen tarkastuksen tulee huolehtia riittävästä yhteistyöstä ja yhteydenpidosta ulkoisen tarkastuksen kanssa. </w: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Eettiset toimintaperiaatteet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on toiminnassaan otettava huomioon yleisesti hyväksytyt sisäisen tarkastuksen ammattistandardit, suositukset ja eettiset periaatteet.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toimintaperiaatteet ovat rehellisyys, objektiivisuus, luottamuksell</w:t>
      </w:r>
      <w:r>
        <w:t>i</w:t>
      </w:r>
      <w:r>
        <w:t>suus ja ammattitaito.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on oltava riippumaton tarkastettavista toiminnoista ja sisäisen ta</w:t>
      </w:r>
      <w:r>
        <w:t>r</w:t>
      </w:r>
      <w:r>
        <w:t>kastuksen tulee olla työssään objektiivinen. Sisäisen tarkastajan tulee pidättäytyä arvio</w:t>
      </w:r>
      <w:r>
        <w:t>i</w:t>
      </w:r>
      <w:r>
        <w:t>masta sellaisia toimintoja, joista hän on ollut vastuussa viimeksi kuluneen vuoden aik</w:t>
      </w:r>
      <w:r>
        <w:t>a</w:t>
      </w:r>
      <w:r>
        <w:t>na. Sisäisen tarkastuksen tehtävien suorittamisessa on otettava huomioon hallintolain (434/2003) estee</w:t>
      </w:r>
      <w:r>
        <w:t>l</w:t>
      </w:r>
      <w:r>
        <w:t>lisyyssäädökset.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on ilmoitettava [viraston päällikölle] riippumattomuutta tai obje</w:t>
      </w:r>
      <w:r>
        <w:t>k</w:t>
      </w:r>
      <w:r>
        <w:t>tiivisuutta vaarantavista tekijöistä ja olennaisista poikkeamista sisäisen tarkastuksen a</w:t>
      </w:r>
      <w:r>
        <w:t>m</w:t>
      </w:r>
      <w:r>
        <w:t>mattistandardeista.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lastRenderedPageBreak/>
        <w:t>Sisäisellä tarkastustoiminnolla tulee kokonaisuutena olla tai sen tulee hankkia tehtäviensä suorittamiseen tarvittavat tiedot, taidot ja muu pätevyys. Sisäinen tarkastus voi hankkia ulkopuolista apua tehtäviensä suorittamiseen.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tulee varmistaa tehtävien edellyttämä jatkuva ammatillinen kehi</w:t>
      </w:r>
      <w:r>
        <w:t>t</w:t>
      </w:r>
      <w:r>
        <w:t>tyminen.</w:t>
      </w:r>
    </w:p>
    <w:p w:rsidR="00652CF4" w:rsidRDefault="00652CF4" w:rsidP="00652CF4"/>
    <w:p w:rsidR="00652CF4" w:rsidRDefault="00652CF4" w:rsidP="00652CF4">
      <w:pPr>
        <w:numPr>
          <w:ilvl w:val="0"/>
          <w:numId w:val="20"/>
        </w:numPr>
      </w:pPr>
      <w:r>
        <w:t>Toiminnan suunnittelu</w:t>
      </w:r>
    </w:p>
    <w:p w:rsidR="00652CF4" w:rsidRDefault="00652CF4" w:rsidP="00652CF4"/>
    <w:p w:rsidR="00652CF4" w:rsidRDefault="00652CF4" w:rsidP="00652CF4">
      <w:pPr>
        <w:ind w:left="1304"/>
      </w:pPr>
      <w:r>
        <w:t>Sisäisen tarkastuksen tulee vuosittain laatia ja esitellä sisäisen tarkastustoiminnon toimi</w:t>
      </w:r>
      <w:r>
        <w:t>n</w:t>
      </w:r>
      <w:r>
        <w:t xml:space="preserve">tasuunnitelmat ja resurssitarpeet [viraston päällikölle] hyväksyttäväksi. </w:t>
      </w:r>
    </w:p>
    <w:p w:rsidR="00652CF4" w:rsidRDefault="00652CF4" w:rsidP="00652CF4">
      <w:pPr>
        <w:ind w:left="1304"/>
      </w:pPr>
    </w:p>
    <w:p w:rsidR="00652CF4" w:rsidRDefault="00F63726" w:rsidP="00652CF4">
      <w:pPr>
        <w:ind w:left="1304"/>
      </w:pPr>
      <w:r>
        <w:rPr>
          <w:noProof/>
          <w:lang w:eastAsia="fi-FI"/>
        </w:rPr>
      </w:r>
      <w:r w:rsidR="00E31C90">
        <w:pict>
          <v:shape id="_x0000_s1029" type="#_x0000_t202" style="width:430.7pt;height:48.8pt;mso-position-horizontal-relative:char;mso-position-vertical-relative:line">
            <v:textbox style="mso-next-textbox:#_x0000_s1029">
              <w:txbxContent>
                <w:p w:rsidR="00652CF4" w:rsidRPr="00BC332B" w:rsidRDefault="00652CF4" w:rsidP="00652CF4">
                  <w:pPr>
                    <w:rPr>
                      <w:i/>
                    </w:rPr>
                  </w:pPr>
                  <w:r>
                    <w:rPr>
                      <w:i/>
                    </w:rPr>
                    <w:t>Ohjesääntöön voidaan sisällyttää tarkemmat säännökset sisäisen tarkastuksen toimi</w:t>
                  </w:r>
                  <w:r>
                    <w:rPr>
                      <w:i/>
                    </w:rPr>
                    <w:t>n</w:t>
                  </w:r>
                  <w:r>
                    <w:rPr>
                      <w:i/>
                    </w:rPr>
                    <w:t>tasuunnitelman, seurantamenettelyjen ja niiden käsittelyn nivoutumisesta organisa</w:t>
                  </w:r>
                  <w:r>
                    <w:rPr>
                      <w:i/>
                    </w:rPr>
                    <w:t>a</w:t>
                  </w:r>
                  <w:r>
                    <w:rPr>
                      <w:i/>
                    </w:rPr>
                    <w:t>tion suunnittelusykliin.</w:t>
                  </w:r>
                </w:p>
              </w:txbxContent>
            </v:textbox>
            <w10:anchorlock/>
          </v:shape>
        </w:pict>
      </w:r>
    </w:p>
    <w:p w:rsidR="00652CF4" w:rsidRDefault="00652CF4" w:rsidP="00652CF4">
      <w:pPr>
        <w:ind w:left="720"/>
      </w:pPr>
    </w:p>
    <w:p w:rsidR="00652CF4" w:rsidRDefault="00652CF4" w:rsidP="00652CF4">
      <w:pPr>
        <w:numPr>
          <w:ilvl w:val="0"/>
          <w:numId w:val="20"/>
        </w:numPr>
      </w:pPr>
      <w:r>
        <w:t>Tehtävien toteuttaminen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 w:rsidRPr="002D5AA7">
        <w:t xml:space="preserve">Sisäisen tarkastuksen tulee määritellä </w:t>
      </w:r>
      <w:r>
        <w:t xml:space="preserve">ja dokumentoida </w:t>
      </w:r>
      <w:r w:rsidRPr="002D5AA7">
        <w:t>tarkastus-</w:t>
      </w:r>
      <w:r>
        <w:t>,</w:t>
      </w:r>
      <w:r w:rsidRPr="002D5AA7">
        <w:t xml:space="preserve"> arviointi- </w:t>
      </w:r>
      <w:r>
        <w:t>ja</w:t>
      </w:r>
      <w:r w:rsidRPr="002D5AA7">
        <w:t xml:space="preserve"> konsu</w:t>
      </w:r>
      <w:r w:rsidRPr="002D5AA7">
        <w:t>l</w:t>
      </w:r>
      <w:r w:rsidRPr="002D5AA7">
        <w:t>tointitoimintansa suunnittelua</w:t>
      </w:r>
      <w:r>
        <w:t xml:space="preserve">, tarkastustyötä ja raportointia </w:t>
      </w:r>
      <w:r w:rsidRPr="002D5AA7">
        <w:t xml:space="preserve">koskevat </w:t>
      </w:r>
      <w:r>
        <w:t xml:space="preserve">tarkemmat </w:t>
      </w:r>
      <w:r w:rsidRPr="002D5AA7">
        <w:t>mene</w:t>
      </w:r>
      <w:r w:rsidRPr="002D5AA7">
        <w:t>t</w:t>
      </w:r>
      <w:r w:rsidRPr="002D5AA7">
        <w:t>telytavat</w:t>
      </w:r>
      <w:r>
        <w:t xml:space="preserve">. </w:t>
      </w:r>
    </w:p>
    <w:p w:rsidR="00652CF4" w:rsidRDefault="00652CF4" w:rsidP="00652CF4">
      <w:r>
        <w:t xml:space="preserve"> </w:t>
      </w:r>
    </w:p>
    <w:p w:rsidR="00652CF4" w:rsidRDefault="00F63726" w:rsidP="00652CF4">
      <w:pPr>
        <w:ind w:left="1304"/>
      </w:pPr>
      <w:r>
        <w:rPr>
          <w:noProof/>
          <w:lang w:eastAsia="fi-FI"/>
        </w:rPr>
      </w:r>
      <w:r w:rsidR="00E31C90">
        <w:pict>
          <v:shape id="_x0000_s1030" type="#_x0000_t202" style="width:430.7pt;height:93.8pt;mso-position-horizontal-relative:char;mso-position-vertical-relative:line">
            <v:textbox style="mso-next-textbox:#_x0000_s1030">
              <w:txbxContent>
                <w:p w:rsidR="00652CF4" w:rsidRDefault="00652CF4" w:rsidP="00652CF4">
                  <w:pPr>
                    <w:rPr>
                      <w:i/>
                    </w:rPr>
                  </w:pPr>
                  <w:r>
                    <w:rPr>
                      <w:i/>
                    </w:rPr>
                    <w:t>Malliohjesäännössä esitetty tehtävien toteuttamista koskeva kohta edellyttää, että s</w:t>
                  </w:r>
                  <w:r>
                    <w:rPr>
                      <w:i/>
                    </w:rPr>
                    <w:t>i</w:t>
                  </w:r>
                  <w:r>
                    <w:rPr>
                      <w:i/>
                    </w:rPr>
                    <w:t>säinen tarkastus laatii itselleen tarkemmalla tasolla menettelytapaohjeet tarkastuste</w:t>
                  </w:r>
                  <w:r>
                    <w:rPr>
                      <w:i/>
                    </w:rPr>
                    <w:t>h</w:t>
                  </w:r>
                  <w:r>
                    <w:rPr>
                      <w:i/>
                    </w:rPr>
                    <w:t>tävien ja konsultointitoimeksiantojen suunnittelun, toteutuksen ja raportoinnin osalta.</w:t>
                  </w:r>
                </w:p>
                <w:p w:rsidR="00652CF4" w:rsidRDefault="00652CF4" w:rsidP="00652CF4">
                  <w:pPr>
                    <w:rPr>
                      <w:i/>
                    </w:rPr>
                  </w:pPr>
                </w:p>
                <w:p w:rsidR="00652CF4" w:rsidRPr="00BC332B" w:rsidRDefault="00652CF4" w:rsidP="00652CF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Vaihtoehtoisesti ohjesäännössä voidaan myös suoraan määritellä tarkemmin sisäisen tarkastuksen toiminnassa edellytettävät toimintatavat. </w:t>
                  </w:r>
                </w:p>
              </w:txbxContent>
            </v:textbox>
            <w10:anchorlock/>
          </v:shape>
        </w:pic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Raportointi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tulee raportoida säännöllisesti [viraston päällikölle] toimintasuu</w:t>
      </w:r>
      <w:r>
        <w:t>n</w:t>
      </w:r>
      <w:r>
        <w:t>nitelman toteutumisesta, merkittävistä avoimista riskeistä, sisäisen valvonnan tilasta sekä muista organisaation johtamis- ja hallintojärjestelmää koskevista asioista.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on viivytyksettä raportoitava [viraston päällikölle] havaitsemistaan merkittävistä sisäisen valvonnan tai riskienhallinnan puutteista sekä väärinkäytöksistä.</w:t>
      </w:r>
      <w:r w:rsidRPr="009A55E0">
        <w:t xml:space="preserve"> 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tulee antaa tarkastettavasta tai arvioitavasta kohteesta vastuussa oleville mahdollisuus esittää näkemyksensä havainnoista ja johtopäätöksistä ennen lopu</w:t>
      </w:r>
      <w:r>
        <w:t>l</w:t>
      </w:r>
      <w:r>
        <w:t>lisen raportin antamista, ellei ole perusteltua syytä menetellä toisin.</w:t>
      </w:r>
    </w:p>
    <w:p w:rsidR="00652CF4" w:rsidRDefault="00652CF4" w:rsidP="00652CF4"/>
    <w:p w:rsidR="00652CF4" w:rsidRDefault="00652CF4" w:rsidP="00652CF4">
      <w:pPr>
        <w:ind w:left="1304"/>
      </w:pPr>
      <w:r>
        <w:t>Muilta osin sisäinen tarkastus päättää raportoinnista.</w: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Dokumentointi</w:t>
      </w:r>
    </w:p>
    <w:p w:rsidR="00652CF4" w:rsidRDefault="00652CF4" w:rsidP="00652CF4"/>
    <w:p w:rsidR="00652CF4" w:rsidRDefault="00652CF4" w:rsidP="00652CF4">
      <w:pPr>
        <w:ind w:left="1304"/>
      </w:pPr>
      <w:r>
        <w:t xml:space="preserve">Sisäisen tarkastuksen </w:t>
      </w:r>
      <w:r w:rsidRPr="001B77D5">
        <w:t>on laadittava työpaperit, jotka dokumentoivat tehtyä työtä koskevat tiedot tarkastus- tai arviointikohteittain</w:t>
      </w:r>
      <w:r>
        <w:t>.  Työpaperit on laadittava ja säilytettävä siten, e</w:t>
      </w:r>
      <w:r>
        <w:t>t</w:t>
      </w:r>
      <w:r>
        <w:t>tä havainnot ja suos</w:t>
      </w:r>
      <w:r>
        <w:t>i</w:t>
      </w:r>
      <w:r>
        <w:t xml:space="preserve">tukset voidaan myös jälkikäteen niiden perusteella todentaa. 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  <w:outlineLvl w:val="0"/>
      </w:pPr>
      <w:r>
        <w:t>Tarkastusraportit säilytetään arkistointia koskevien määräysten mukaisesti. Tarkastusr</w:t>
      </w:r>
      <w:r>
        <w:t>a</w:t>
      </w:r>
      <w:r>
        <w:t xml:space="preserve">porttien julkisuus määräytyy viranomaisten toiminnan julkisuudesta annetun lain </w:t>
      </w:r>
      <w:r>
        <w:lastRenderedPageBreak/>
        <w:t>(621/1999) mukaisesti. Asiakirjan valmistuttua on otettava tarpeen mukaan kantaa asi</w:t>
      </w:r>
      <w:r>
        <w:t>a</w:t>
      </w:r>
      <w:r>
        <w:t>kirjan tai sen osien salassapitoon.</w: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Laadunvarmistus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tulee kehittää ja ylläpitää sisäisen tarkastuksen laadunvarmistu</w:t>
      </w:r>
      <w:r>
        <w:t>s</w:t>
      </w:r>
      <w:r>
        <w:t>menettelyitä. Menettelyihin on sisällytettävä sekä jatkuvat laadunvarmistusmenettelyt e</w:t>
      </w:r>
      <w:r>
        <w:t>t</w:t>
      </w:r>
      <w:r>
        <w:t>tä säännöllisin väliajoin tehtävät sisäiset tai ulkoiset arvioinnit sisäisen tarkastuksen to</w:t>
      </w:r>
      <w:r>
        <w:t>i</w:t>
      </w:r>
      <w:r>
        <w:t>minnan la</w:t>
      </w:r>
      <w:r>
        <w:t>a</w:t>
      </w:r>
      <w:r>
        <w:t xml:space="preserve">dusta. </w:t>
      </w:r>
    </w:p>
    <w:p w:rsidR="00652CF4" w:rsidRDefault="00652CF4" w:rsidP="00652CF4">
      <w:pPr>
        <w:ind w:left="1304"/>
      </w:pPr>
    </w:p>
    <w:p w:rsidR="00652CF4" w:rsidRDefault="00652CF4" w:rsidP="00652CF4">
      <w:pPr>
        <w:numPr>
          <w:ilvl w:val="0"/>
          <w:numId w:val="20"/>
        </w:numPr>
      </w:pPr>
      <w:r>
        <w:t>Voimaantulo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Tämä ohjesääntö tulee voimaan [pp.kk.vvvv]. [Tällä ohjesäännöllä kumotaan pp.kk.vvvv annettu ohjesääntö.] Sisäisen tarkastuksen on vuosittain arvioitava ohjesäännön päivity</w:t>
      </w:r>
      <w:r>
        <w:t>s</w:t>
      </w:r>
      <w:r>
        <w:t>tarpeet ja tarvittaessa esitettävä siihen tehtävät muutokset [v</w:t>
      </w:r>
      <w:r>
        <w:t>i</w:t>
      </w:r>
      <w:r>
        <w:t xml:space="preserve">raston päällikölle]. 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Sisäisen tarkastuksen ohjesääntö on annettu tiedoksi [hallinnonalan ministeriölle ja m</w:t>
      </w:r>
      <w:r>
        <w:t>i</w:t>
      </w:r>
      <w:r>
        <w:t>nisteriön sisäiselle tarkastukselle] sekä valtiontalouden tarkastusvirasto</w:t>
      </w:r>
      <w:r>
        <w:t>l</w:t>
      </w:r>
      <w:r>
        <w:t>le.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[pp.kk.vvvv]</w:t>
      </w: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</w:p>
    <w:p w:rsidR="00652CF4" w:rsidRDefault="00652CF4" w:rsidP="00652CF4">
      <w:pPr>
        <w:ind w:left="1304"/>
      </w:pPr>
      <w:r>
        <w:t>[Viraston päällikkö]</w:t>
      </w:r>
      <w:r>
        <w:tab/>
      </w:r>
      <w:r>
        <w:tab/>
        <w:t>NN</w:t>
      </w:r>
    </w:p>
    <w:p w:rsidR="00CB7DA4" w:rsidRDefault="00CB7DA4">
      <w:pPr>
        <w:pStyle w:val="VMleipteksti"/>
      </w:pPr>
    </w:p>
    <w:sectPr w:rsidR="00CB7DA4">
      <w:footerReference w:type="first" r:id="rId11"/>
      <w:type w:val="continuous"/>
      <w:pgSz w:w="11907" w:h="16840" w:code="9"/>
      <w:pgMar w:top="567" w:right="851" w:bottom="1134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08" w:rsidRDefault="00296008">
      <w:r>
        <w:separator/>
      </w:r>
    </w:p>
  </w:endnote>
  <w:endnote w:type="continuationSeparator" w:id="0">
    <w:p w:rsidR="00296008" w:rsidRDefault="0029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A4" w:rsidRDefault="00CB7DA4">
    <w:pPr>
      <w:pStyle w:val="vmalatunniste"/>
      <w:pBdr>
        <w:top w:val="single" w:sz="4" w:space="1" w:color="auto"/>
      </w:pBdr>
      <w:rPr>
        <w:sz w:val="20"/>
      </w:rPr>
    </w:pPr>
  </w:p>
  <w:p w:rsidR="004865BC" w:rsidRDefault="004865BC" w:rsidP="004865BC">
    <w:pPr>
      <w:tabs>
        <w:tab w:val="left" w:pos="-1701"/>
      </w:tabs>
      <w:rPr>
        <w:sz w:val="20"/>
      </w:rPr>
    </w:pPr>
    <w:r w:rsidRPr="00D36FB9">
      <w:rPr>
        <w:sz w:val="20"/>
      </w:rPr>
      <w:t>VALTIOVARAINMINISTERIÖ</w:t>
    </w:r>
    <w:r w:rsidRPr="00D36FB9">
      <w:rPr>
        <w:sz w:val="20"/>
      </w:rPr>
      <w:tab/>
    </w:r>
    <w:r w:rsidRPr="005551A5">
      <w:rPr>
        <w:sz w:val="20"/>
      </w:rPr>
      <w:t>PL 28   00023 VALTIONEUVOSTO</w:t>
    </w:r>
    <w:r>
      <w:rPr>
        <w:sz w:val="20"/>
      </w:rPr>
      <w:tab/>
      <w:t>Puh</w:t>
    </w:r>
    <w:r w:rsidRPr="00D36FB9">
      <w:rPr>
        <w:sz w:val="20"/>
      </w:rPr>
      <w:t xml:space="preserve">. </w:t>
    </w:r>
    <w:r w:rsidRPr="005551A5">
      <w:rPr>
        <w:sz w:val="20"/>
      </w:rPr>
      <w:t>(09) 16001</w:t>
    </w:r>
  </w:p>
  <w:p w:rsidR="00CB7DA4" w:rsidRPr="004865BC" w:rsidRDefault="004865BC" w:rsidP="004865BC">
    <w:pPr>
      <w:tabs>
        <w:tab w:val="left" w:pos="-1701"/>
      </w:tabs>
      <w:rPr>
        <w:sz w:val="20"/>
      </w:rPr>
    </w:pPr>
    <w:hyperlink r:id="rId1" w:history="1">
      <w:r w:rsidRPr="005551A5">
        <w:rPr>
          <w:rStyle w:val="Hyperlinkki"/>
          <w:sz w:val="20"/>
        </w:rPr>
        <w:t>valtiovarainminist</w:t>
      </w:r>
      <w:r w:rsidRPr="005551A5">
        <w:rPr>
          <w:rStyle w:val="Hyperlinkki"/>
          <w:sz w:val="20"/>
        </w:rPr>
        <w:t>e</w:t>
      </w:r>
      <w:r w:rsidRPr="005551A5">
        <w:rPr>
          <w:rStyle w:val="Hyperlinkki"/>
          <w:sz w:val="20"/>
        </w:rPr>
        <w:t>rio@vm.fi</w:t>
      </w:r>
    </w:hyperlink>
    <w:r w:rsidRPr="005551A5">
      <w:tab/>
    </w:r>
    <w:r>
      <w:tab/>
    </w:r>
    <w:hyperlink r:id="rId2" w:history="1">
      <w:r w:rsidRPr="005551A5">
        <w:rPr>
          <w:rStyle w:val="Hyperlinkki"/>
          <w:sz w:val="20"/>
        </w:rPr>
        <w:t>http://www.vm.fi</w:t>
      </w:r>
    </w:hyperlink>
    <w:r w:rsidRPr="004865BC">
      <w:rPr>
        <w:sz w:val="20"/>
      </w:rPr>
      <w:tab/>
    </w:r>
    <w:r w:rsidRPr="004865BC">
      <w:rPr>
        <w:sz w:val="20"/>
      </w:rPr>
      <w:tab/>
      <w:t xml:space="preserve">Y-tunnus  0245439-9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08" w:rsidRDefault="00296008">
      <w:r>
        <w:separator/>
      </w:r>
    </w:p>
  </w:footnote>
  <w:footnote w:type="continuationSeparator" w:id="0">
    <w:p w:rsidR="00296008" w:rsidRDefault="00296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"/>
      <w:legacy w:legacy="1" w:legacySpace="113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13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13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13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24D949A2"/>
    <w:multiLevelType w:val="hybridMultilevel"/>
    <w:tmpl w:val="E3D4EAD4"/>
    <w:lvl w:ilvl="0" w:tplc="26C0F068">
      <w:start w:val="1"/>
      <w:numFmt w:val="decimal"/>
      <w:lvlText w:val="%1 §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E74E53"/>
    <w:multiLevelType w:val="multilevel"/>
    <w:tmpl w:val="AAA4DB06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CF4"/>
    <w:rsid w:val="000C0E0F"/>
    <w:rsid w:val="001B77D5"/>
    <w:rsid w:val="001C53AC"/>
    <w:rsid w:val="001E3341"/>
    <w:rsid w:val="00214739"/>
    <w:rsid w:val="00296008"/>
    <w:rsid w:val="002D5AA7"/>
    <w:rsid w:val="004865BC"/>
    <w:rsid w:val="004F46DE"/>
    <w:rsid w:val="005551A5"/>
    <w:rsid w:val="005C4605"/>
    <w:rsid w:val="00652CF4"/>
    <w:rsid w:val="007C4790"/>
    <w:rsid w:val="009A55E0"/>
    <w:rsid w:val="00A35C7B"/>
    <w:rsid w:val="00A701E3"/>
    <w:rsid w:val="00BC332B"/>
    <w:rsid w:val="00CB7DA4"/>
    <w:rsid w:val="00D36FB9"/>
    <w:rsid w:val="00D43107"/>
    <w:rsid w:val="00D8259D"/>
    <w:rsid w:val="00E31C90"/>
    <w:rsid w:val="00E53192"/>
    <w:rsid w:val="00F63726"/>
    <w:rsid w:val="00F7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Otsikko1">
    <w:name w:val="heading 1"/>
    <w:basedOn w:val="Normaali"/>
    <w:next w:val="VMleipteksti"/>
    <w:link w:val="Otsikko1Char"/>
    <w:uiPriority w:val="99"/>
    <w:qFormat/>
    <w:pPr>
      <w:keepNext/>
      <w:keepLines/>
      <w:numPr>
        <w:numId w:val="11"/>
      </w:numPr>
      <w:spacing w:before="240" w:after="240"/>
      <w:outlineLvl w:val="0"/>
    </w:pPr>
    <w:rPr>
      <w:b/>
      <w:caps/>
      <w:kern w:val="24"/>
    </w:rPr>
  </w:style>
  <w:style w:type="paragraph" w:styleId="Otsikko2">
    <w:name w:val="heading 2"/>
    <w:basedOn w:val="Otsikko1"/>
    <w:next w:val="VMleipteksti"/>
    <w:link w:val="Otsikko2Char"/>
    <w:uiPriority w:val="99"/>
    <w:qFormat/>
    <w:pPr>
      <w:numPr>
        <w:ilvl w:val="1"/>
        <w:numId w:val="12"/>
      </w:numPr>
      <w:outlineLvl w:val="1"/>
    </w:pPr>
    <w:rPr>
      <w:caps w:val="0"/>
    </w:rPr>
  </w:style>
  <w:style w:type="paragraph" w:styleId="Otsikko3">
    <w:name w:val="heading 3"/>
    <w:basedOn w:val="Otsikko1"/>
    <w:next w:val="VMleipteksti"/>
    <w:link w:val="Otsikko3Char"/>
    <w:uiPriority w:val="99"/>
    <w:qFormat/>
    <w:pPr>
      <w:numPr>
        <w:ilvl w:val="2"/>
        <w:numId w:val="13"/>
      </w:numPr>
      <w:outlineLvl w:val="2"/>
    </w:pPr>
    <w:rPr>
      <w:b w:val="0"/>
      <w:i/>
      <w:caps w:val="0"/>
    </w:rPr>
  </w:style>
  <w:style w:type="paragraph" w:styleId="Otsikko4">
    <w:name w:val="heading 4"/>
    <w:basedOn w:val="Otsikko1"/>
    <w:next w:val="VMleipteksti"/>
    <w:link w:val="Otsikko4Char"/>
    <w:uiPriority w:val="99"/>
    <w:qFormat/>
    <w:pPr>
      <w:numPr>
        <w:ilvl w:val="3"/>
        <w:numId w:val="14"/>
      </w:numPr>
      <w:outlineLvl w:val="3"/>
    </w:pPr>
    <w:rPr>
      <w:b w:val="0"/>
      <w:caps w:val="0"/>
    </w:rPr>
  </w:style>
  <w:style w:type="paragraph" w:styleId="Otsikko5">
    <w:name w:val="heading 5"/>
    <w:basedOn w:val="Otsikko1"/>
    <w:next w:val="VMleipteksti"/>
    <w:link w:val="Otsikko5Char"/>
    <w:uiPriority w:val="99"/>
    <w:qFormat/>
    <w:pPr>
      <w:numPr>
        <w:ilvl w:val="4"/>
        <w:numId w:val="15"/>
      </w:numPr>
      <w:outlineLvl w:val="4"/>
    </w:pPr>
    <w:rPr>
      <w:b w:val="0"/>
      <w:caps w:val="0"/>
    </w:rPr>
  </w:style>
  <w:style w:type="paragraph" w:styleId="Otsikko6">
    <w:name w:val="heading 6"/>
    <w:basedOn w:val="Otsikko1"/>
    <w:next w:val="VMleipteksti"/>
    <w:link w:val="Otsikko6Char"/>
    <w:uiPriority w:val="99"/>
    <w:qFormat/>
    <w:pPr>
      <w:numPr>
        <w:ilvl w:val="5"/>
        <w:numId w:val="16"/>
      </w:numPr>
      <w:outlineLvl w:val="5"/>
    </w:pPr>
    <w:rPr>
      <w:b w:val="0"/>
      <w:caps w:val="0"/>
    </w:rPr>
  </w:style>
  <w:style w:type="paragraph" w:styleId="Otsikko7">
    <w:name w:val="heading 7"/>
    <w:basedOn w:val="Otsikko1"/>
    <w:next w:val="VMleipteksti"/>
    <w:link w:val="Otsikko7Char"/>
    <w:uiPriority w:val="99"/>
    <w:qFormat/>
    <w:pPr>
      <w:numPr>
        <w:ilvl w:val="6"/>
        <w:numId w:val="17"/>
      </w:numPr>
      <w:outlineLvl w:val="6"/>
    </w:pPr>
    <w:rPr>
      <w:b w:val="0"/>
      <w:caps w:val="0"/>
    </w:rPr>
  </w:style>
  <w:style w:type="paragraph" w:styleId="Otsikko8">
    <w:name w:val="heading 8"/>
    <w:basedOn w:val="Otsikko1"/>
    <w:next w:val="Normaali"/>
    <w:link w:val="Otsikko8Char"/>
    <w:uiPriority w:val="99"/>
    <w:qFormat/>
    <w:pPr>
      <w:numPr>
        <w:ilvl w:val="7"/>
        <w:numId w:val="18"/>
      </w:numPr>
      <w:outlineLvl w:val="7"/>
    </w:pPr>
    <w:rPr>
      <w:b w:val="0"/>
      <w:caps w:val="0"/>
    </w:rPr>
  </w:style>
  <w:style w:type="paragraph" w:styleId="Otsikko9">
    <w:name w:val="heading 9"/>
    <w:basedOn w:val="Otsikko1"/>
    <w:next w:val="Normaali"/>
    <w:link w:val="Otsikko9Char"/>
    <w:uiPriority w:val="99"/>
    <w:qFormat/>
    <w:pPr>
      <w:numPr>
        <w:ilvl w:val="8"/>
        <w:numId w:val="19"/>
      </w:numPr>
      <w:outlineLvl w:val="8"/>
    </w:pPr>
    <w:rPr>
      <w:b w:val="0"/>
      <w:caps w:val="0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lang w:eastAsia="en-US"/>
    </w:rPr>
  </w:style>
  <w:style w:type="paragraph" w:styleId="Yltunniste">
    <w:name w:val="header"/>
    <w:basedOn w:val="Normaali"/>
    <w:link w:val="YltunnisteChar"/>
    <w:uiPriority w:val="99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0"/>
      <w:lang w:eastAsia="en-US"/>
    </w:rPr>
  </w:style>
  <w:style w:type="paragraph" w:styleId="Alatunniste">
    <w:name w:val="footer"/>
    <w:basedOn w:val="Normaali"/>
    <w:link w:val="AlatunnisteChar"/>
    <w:uiPriority w:val="99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0"/>
      <w:lang w:eastAsia="en-US"/>
    </w:rPr>
  </w:style>
  <w:style w:type="character" w:styleId="Sivunumero">
    <w:name w:val="page number"/>
    <w:basedOn w:val="Kappaleenoletusfontti"/>
    <w:uiPriority w:val="99"/>
    <w:rPr>
      <w:rFonts w:ascii="Times New Roman" w:hAnsi="Times New Roman" w:cs="Times New Roman"/>
      <w:sz w:val="24"/>
    </w:rPr>
  </w:style>
  <w:style w:type="paragraph" w:customStyle="1" w:styleId="Otsikkoteksti4">
    <w:name w:val="Otsikkoteksti 4"/>
    <w:basedOn w:val="Otsikkoteksti1"/>
    <w:next w:val="VMleipteksti"/>
    <w:uiPriority w:val="99"/>
    <w:rPr>
      <w:b w:val="0"/>
      <w:caps w:val="0"/>
    </w:rPr>
  </w:style>
  <w:style w:type="paragraph" w:customStyle="1" w:styleId="Otsikkoteksti1">
    <w:name w:val="Otsikkoteksti 1"/>
    <w:basedOn w:val="Normaali"/>
    <w:next w:val="VMleipteksti"/>
    <w:uiPriority w:val="99"/>
    <w:pPr>
      <w:keepNext/>
      <w:spacing w:before="240" w:after="240"/>
    </w:pPr>
    <w:rPr>
      <w:b/>
      <w:caps/>
    </w:rPr>
  </w:style>
  <w:style w:type="paragraph" w:styleId="Vakiosisennys">
    <w:name w:val="Normal Indent"/>
    <w:basedOn w:val="Normaali"/>
    <w:uiPriority w:val="99"/>
    <w:pPr>
      <w:ind w:left="1304"/>
    </w:pPr>
  </w:style>
  <w:style w:type="paragraph" w:customStyle="1" w:styleId="Otsikkoteksti2">
    <w:name w:val="Otsikkoteksti 2"/>
    <w:basedOn w:val="Otsikkoteksti1"/>
    <w:next w:val="VMleipteksti"/>
    <w:uiPriority w:val="99"/>
    <w:rPr>
      <w:caps w:val="0"/>
    </w:rPr>
  </w:style>
  <w:style w:type="paragraph" w:customStyle="1" w:styleId="Otsikkoteksti3">
    <w:name w:val="Otsikkoteksti 3"/>
    <w:basedOn w:val="Otsikkoteksti1"/>
    <w:next w:val="VMleipteksti"/>
    <w:uiPriority w:val="99"/>
    <w:rPr>
      <w:b w:val="0"/>
      <w:i/>
      <w:caps w:val="0"/>
    </w:rPr>
  </w:style>
  <w:style w:type="paragraph" w:styleId="Otsikko">
    <w:name w:val="Title"/>
    <w:basedOn w:val="Normaali"/>
    <w:link w:val="OtsikkoChar"/>
    <w:uiPriority w:val="99"/>
    <w:qFormat/>
    <w:pPr>
      <w:spacing w:before="240" w:after="240"/>
      <w:jc w:val="center"/>
      <w:outlineLvl w:val="0"/>
    </w:pPr>
    <w:rPr>
      <w:b/>
      <w:caps/>
      <w:kern w:val="24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vmatyyppi">
    <w:name w:val="vmatyyppi"/>
    <w:basedOn w:val="Kappaleenoletusfontti"/>
    <w:uiPriority w:val="99"/>
    <w:rPr>
      <w:rFonts w:ascii="Times New Roman" w:hAnsi="Times New Roman" w:cs="Times New Roman"/>
      <w:sz w:val="24"/>
    </w:rPr>
  </w:style>
  <w:style w:type="character" w:customStyle="1" w:styleId="vmlaatija">
    <w:name w:val="vmlaatija"/>
    <w:basedOn w:val="Kappaleenoletusfontti"/>
    <w:uiPriority w:val="99"/>
    <w:rPr>
      <w:rFonts w:ascii="Times New Roman" w:hAnsi="Times New Roman" w:cs="Times New Roman"/>
      <w:sz w:val="24"/>
    </w:rPr>
  </w:style>
  <w:style w:type="character" w:customStyle="1" w:styleId="vmpaivays">
    <w:name w:val="vmpaivays"/>
    <w:basedOn w:val="Kappaleenoletusfontti"/>
    <w:uiPriority w:val="99"/>
    <w:rPr>
      <w:rFonts w:ascii="Times New Roman" w:hAnsi="Times New Roman" w:cs="Times New Roman"/>
      <w:sz w:val="24"/>
    </w:rPr>
  </w:style>
  <w:style w:type="character" w:customStyle="1" w:styleId="vmyksikko">
    <w:name w:val="vmyksikko"/>
    <w:uiPriority w:val="99"/>
    <w:rPr>
      <w:rFonts w:ascii="Times New Roman" w:hAnsi="Times New Roman"/>
      <w:sz w:val="24"/>
    </w:rPr>
  </w:style>
  <w:style w:type="paragraph" w:customStyle="1" w:styleId="vmylatunniste">
    <w:name w:val="vmylatunniste"/>
    <w:basedOn w:val="Normaali"/>
    <w:uiPriority w:val="9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4"/>
    </w:pPr>
    <w:rPr>
      <w:noProof/>
    </w:rPr>
  </w:style>
  <w:style w:type="paragraph" w:customStyle="1" w:styleId="vmalatunniste">
    <w:name w:val="vmalatunniste"/>
    <w:basedOn w:val="Normaali"/>
    <w:uiPriority w:val="9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customStyle="1" w:styleId="VMleipteksti">
    <w:name w:val="VM leipäteksti"/>
    <w:uiPriority w:val="99"/>
    <w:pPr>
      <w:spacing w:after="0" w:line="240" w:lineRule="auto"/>
      <w:ind w:left="2608"/>
    </w:pPr>
    <w:rPr>
      <w:sz w:val="24"/>
      <w:szCs w:val="20"/>
      <w:lang w:eastAsia="en-US"/>
    </w:rPr>
  </w:style>
  <w:style w:type="paragraph" w:customStyle="1" w:styleId="VMriippuva2">
    <w:name w:val="VM riippuva2"/>
    <w:next w:val="VMleipteksti"/>
    <w:uiPriority w:val="99"/>
    <w:pPr>
      <w:spacing w:after="0" w:line="240" w:lineRule="auto"/>
      <w:ind w:left="2608" w:hanging="2608"/>
    </w:pPr>
    <w:rPr>
      <w:sz w:val="24"/>
      <w:szCs w:val="20"/>
      <w:lang w:eastAsia="en-US"/>
    </w:rPr>
  </w:style>
  <w:style w:type="character" w:styleId="Hyperlinkki">
    <w:name w:val="Hyperlink"/>
    <w:basedOn w:val="Kappaleenoletusfontti"/>
    <w:uiPriority w:val="99"/>
    <w:rsid w:val="004865BC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A701E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jan.holmberg@vm.f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m.fi" TargetMode="External"/><Relationship Id="rId1" Type="http://schemas.openxmlformats.org/officeDocument/2006/relationships/hyperlink" Target="mailto:valtiovarainministerio@vm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97\Word\Mallit\Kirje\VMkirje%20suomek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VMkirje suomeksi.dot</Template>
  <TotalTime>1</TotalTime>
  <Pages>5</Pages>
  <Words>933</Words>
  <Characters>7565</Characters>
  <Application>Microsoft Office Word</Application>
  <DocSecurity>4</DocSecurity>
  <Lines>63</Lines>
  <Paragraphs>16</Paragraphs>
  <ScaleCrop>false</ScaleCrop>
  <Manager>Jan Holmberg</Manager>
  <Company>VM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Sisäisen tarkastuksen malliohjesääntö</dc:title>
  <dc:creator>Sisäisen tarkastuksen jaosto</dc:creator>
  <dc:description>Sisäisen tarkastuksen malliohjesääntö on laadittu sisäisen tarkastuksen jaostossa. Malli on suositus, jota virastot voivat käyttää vahvistaessaan sisäisen tarkastuksen ohjesäännön.</dc:description>
  <cp:lastModifiedBy>vminnane</cp:lastModifiedBy>
  <cp:revision>2</cp:revision>
  <cp:lastPrinted>2007-03-22T14:03:00Z</cp:lastPrinted>
  <dcterms:created xsi:type="dcterms:W3CDTF">2015-01-23T14:22:00Z</dcterms:created>
  <dcterms:modified xsi:type="dcterms:W3CDTF">2015-01-23T14:22:00Z</dcterms:modified>
</cp:coreProperties>
</file>